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F42C" w14:textId="3A684BE3" w:rsidR="00F11154" w:rsidRPr="00F72276" w:rsidRDefault="00E5309C" w:rsidP="00E5309C">
      <w:pPr>
        <w:pStyle w:val="BodyText"/>
        <w:rPr>
          <w:rFonts w:ascii="Times New Roman"/>
        </w:rPr>
      </w:pPr>
      <w:r w:rsidRPr="00F72276">
        <w:rPr>
          <w:noProof/>
        </w:rPr>
        <w:drawing>
          <wp:anchor distT="0" distB="0" distL="114300" distR="114300" simplePos="0" relativeHeight="251658240" behindDoc="0" locked="0" layoutInCell="0" allowOverlap="1" wp14:anchorId="4E340600" wp14:editId="4E23AFEA">
            <wp:simplePos x="0" y="0"/>
            <wp:positionH relativeFrom="page">
              <wp:posOffset>438150</wp:posOffset>
            </wp:positionH>
            <wp:positionV relativeFrom="page">
              <wp:posOffset>295275</wp:posOffset>
            </wp:positionV>
            <wp:extent cx="2499761"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9761"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EB09B0" w14:textId="354F1B6F" w:rsidR="00F11154" w:rsidRPr="00F72276" w:rsidRDefault="00F11154" w:rsidP="00E5309C">
      <w:pPr>
        <w:pStyle w:val="BodyText"/>
        <w:rPr>
          <w:rFonts w:ascii="Times New Roman"/>
        </w:rPr>
      </w:pPr>
    </w:p>
    <w:p w14:paraId="098B2B7A" w14:textId="77777777" w:rsidR="00E5309C" w:rsidRPr="00F72276" w:rsidRDefault="00E5309C" w:rsidP="00E5309C">
      <w:pPr>
        <w:pStyle w:val="BodyText"/>
        <w:spacing w:before="6"/>
        <w:rPr>
          <w:rFonts w:ascii="Calibri" w:hAnsi="Calibri" w:cs="Calibri"/>
          <w:sz w:val="22"/>
        </w:rPr>
      </w:pPr>
    </w:p>
    <w:p w14:paraId="4DE91650" w14:textId="5290AD25" w:rsidR="00E5309C" w:rsidRPr="00F72276" w:rsidRDefault="00E5309C" w:rsidP="00E5309C">
      <w:pPr>
        <w:ind w:left="100"/>
        <w:rPr>
          <w:rFonts w:asciiTheme="minorHAnsi" w:hAnsiTheme="minorHAnsi" w:cstheme="minorHAnsi"/>
          <w:b/>
          <w:color w:val="008ED5"/>
          <w:sz w:val="20"/>
        </w:rPr>
      </w:pPr>
    </w:p>
    <w:p w14:paraId="3B20BB55" w14:textId="3D170569" w:rsidR="00F11154" w:rsidRPr="00F72276" w:rsidRDefault="00A92B6E" w:rsidP="00B80F8D">
      <w:pPr>
        <w:spacing w:line="233" w:lineRule="auto"/>
        <w:rPr>
          <w:rFonts w:asciiTheme="minorHAnsi" w:hAnsiTheme="minorHAnsi" w:cstheme="minorHAnsi"/>
          <w:b/>
          <w:color w:val="5B77CC"/>
          <w:sz w:val="36"/>
        </w:rPr>
      </w:pPr>
      <w:r w:rsidRPr="00F72276">
        <w:rPr>
          <w:rFonts w:asciiTheme="minorHAnsi" w:hAnsiTheme="minorHAnsi" w:cstheme="minorHAnsi"/>
          <w:b/>
          <w:color w:val="5B77CC"/>
          <w:sz w:val="36"/>
        </w:rPr>
        <w:t>SOCIETY PARTNERSHIP</w:t>
      </w:r>
      <w:r w:rsidR="00E62FF3" w:rsidRPr="008D40ED">
        <w:rPr>
          <w:rFonts w:asciiTheme="minorHAnsi" w:hAnsiTheme="minorHAnsi" w:cstheme="minorHAnsi"/>
          <w:b/>
          <w:color w:val="4F81BD" w:themeColor="accent1"/>
          <w:sz w:val="36"/>
        </w:rPr>
        <w:t xml:space="preserve"> AND STRATEGY</w:t>
      </w:r>
      <w:r w:rsidRPr="008D40ED">
        <w:rPr>
          <w:rFonts w:asciiTheme="minorHAnsi" w:hAnsiTheme="minorHAnsi" w:cstheme="minorHAnsi"/>
          <w:b/>
          <w:color w:val="4F81BD" w:themeColor="accent1"/>
          <w:sz w:val="36"/>
        </w:rPr>
        <w:t xml:space="preserve"> </w:t>
      </w:r>
      <w:r w:rsidRPr="00F72276">
        <w:rPr>
          <w:rFonts w:asciiTheme="minorHAnsi" w:hAnsiTheme="minorHAnsi" w:cstheme="minorHAnsi"/>
          <w:b/>
          <w:color w:val="5B77CC"/>
          <w:sz w:val="36"/>
        </w:rPr>
        <w:t>COUNCIL</w:t>
      </w:r>
      <w:r w:rsidR="00E5309C" w:rsidRPr="00F72276">
        <w:rPr>
          <w:rFonts w:asciiTheme="minorHAnsi" w:hAnsiTheme="minorHAnsi" w:cstheme="minorHAnsi"/>
          <w:b/>
          <w:color w:val="5B77CC"/>
          <w:sz w:val="36"/>
        </w:rPr>
        <w:t xml:space="preserve"> CHARTER</w:t>
      </w:r>
    </w:p>
    <w:p w14:paraId="5D33DF7C" w14:textId="77777777" w:rsidR="00E5309C" w:rsidRPr="00F72276" w:rsidRDefault="00E5309C" w:rsidP="00B80F8D">
      <w:pPr>
        <w:spacing w:line="233" w:lineRule="auto"/>
        <w:ind w:left="100"/>
        <w:rPr>
          <w:rFonts w:asciiTheme="minorHAnsi" w:hAnsiTheme="minorHAnsi" w:cstheme="minorHAnsi"/>
          <w:b/>
          <w:sz w:val="28"/>
        </w:rPr>
      </w:pPr>
    </w:p>
    <w:p w14:paraId="71BF863D" w14:textId="77777777" w:rsidR="00F11154" w:rsidRPr="00F72276" w:rsidRDefault="00A92B6E" w:rsidP="00B80F8D">
      <w:pPr>
        <w:pStyle w:val="Heading1"/>
        <w:spacing w:line="233" w:lineRule="auto"/>
        <w:ind w:left="0"/>
        <w:rPr>
          <w:rFonts w:asciiTheme="minorHAnsi" w:hAnsiTheme="minorHAnsi" w:cstheme="minorHAnsi"/>
        </w:rPr>
      </w:pPr>
      <w:r w:rsidRPr="00F72276">
        <w:rPr>
          <w:rFonts w:asciiTheme="minorHAnsi" w:hAnsiTheme="minorHAnsi" w:cstheme="minorHAnsi"/>
          <w:color w:val="808080"/>
        </w:rPr>
        <w:t>Purpose</w:t>
      </w:r>
    </w:p>
    <w:p w14:paraId="335C98F6" w14:textId="77777777" w:rsidR="00E62FF3" w:rsidRPr="00F72276" w:rsidRDefault="00E62FF3" w:rsidP="00B80F8D">
      <w:pPr>
        <w:pStyle w:val="BodyText"/>
        <w:spacing w:before="31" w:line="233" w:lineRule="auto"/>
        <w:ind w:right="424"/>
        <w:rPr>
          <w:rFonts w:asciiTheme="minorHAnsi" w:hAnsiTheme="minorHAnsi" w:cstheme="minorHAnsi"/>
          <w:sz w:val="22"/>
          <w:szCs w:val="22"/>
        </w:rPr>
      </w:pPr>
    </w:p>
    <w:p w14:paraId="12C40F9A" w14:textId="77777777" w:rsidR="00E62FF3" w:rsidRPr="008D40ED" w:rsidRDefault="00E62FF3" w:rsidP="00E62FF3">
      <w:pPr>
        <w:pStyle w:val="paragraph"/>
        <w:spacing w:before="0" w:beforeAutospacing="0" w:after="0" w:afterAutospacing="0"/>
        <w:textAlignment w:val="baseline"/>
        <w:rPr>
          <w:rFonts w:asciiTheme="minorHAnsi" w:hAnsiTheme="minorHAnsi" w:cstheme="minorHAnsi"/>
          <w:sz w:val="22"/>
          <w:szCs w:val="22"/>
        </w:rPr>
      </w:pPr>
      <w:r w:rsidRPr="008D40ED">
        <w:rPr>
          <w:rStyle w:val="normaltextrun"/>
          <w:rFonts w:asciiTheme="minorHAnsi" w:eastAsiaTheme="majorEastAsia" w:hAnsiTheme="minorHAnsi" w:cstheme="minorHAnsi"/>
          <w:sz w:val="22"/>
          <w:szCs w:val="22"/>
        </w:rPr>
        <w:t>The Society Partnership and Strategy Council (the “Council” or “SPSC”) is established by the Board of Governors (the “Board”) to serve as a strategic advisory body addressing key challenges and opportunities impacting or arising from the society network. SPSC focuses on high-impact issues critical to advancing CFA Institute’s mission globally and delivering value to members.</w:t>
      </w:r>
    </w:p>
    <w:p w14:paraId="36AC8055" w14:textId="77777777" w:rsidR="00E62FF3" w:rsidRPr="008D40ED" w:rsidRDefault="00E62FF3" w:rsidP="00B80F8D">
      <w:pPr>
        <w:pStyle w:val="BodyText"/>
        <w:spacing w:before="31" w:line="233" w:lineRule="auto"/>
        <w:ind w:right="424"/>
        <w:rPr>
          <w:rFonts w:asciiTheme="minorHAnsi" w:hAnsiTheme="minorHAnsi" w:cstheme="minorHAnsi"/>
          <w:sz w:val="22"/>
          <w:szCs w:val="22"/>
        </w:rPr>
      </w:pPr>
    </w:p>
    <w:p w14:paraId="06BD5723" w14:textId="77777777" w:rsidR="00E62FF3" w:rsidRPr="008D40ED" w:rsidRDefault="00E62FF3" w:rsidP="00E62FF3">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8D40ED">
        <w:rPr>
          <w:rStyle w:val="normaltextrun"/>
          <w:rFonts w:asciiTheme="minorHAnsi" w:eastAsiaTheme="majorEastAsia" w:hAnsiTheme="minorHAnsi" w:cstheme="minorHAnsi"/>
          <w:sz w:val="22"/>
          <w:szCs w:val="22"/>
        </w:rPr>
        <w:t>The Council’s role is to:</w:t>
      </w:r>
      <w:r w:rsidRPr="008D40ED">
        <w:rPr>
          <w:rStyle w:val="eop"/>
          <w:rFonts w:asciiTheme="minorHAnsi" w:eastAsiaTheme="majorEastAsia" w:hAnsiTheme="minorHAnsi" w:cstheme="minorHAnsi"/>
          <w:sz w:val="22"/>
          <w:szCs w:val="22"/>
        </w:rPr>
        <w:t> </w:t>
      </w:r>
    </w:p>
    <w:p w14:paraId="28C485C6" w14:textId="77777777" w:rsidR="00E62FF3" w:rsidRPr="008D40ED" w:rsidRDefault="00E62FF3" w:rsidP="00E62FF3">
      <w:pPr>
        <w:pStyle w:val="BodyText"/>
        <w:spacing w:before="1" w:line="233" w:lineRule="auto"/>
        <w:rPr>
          <w:rFonts w:asciiTheme="minorHAnsi" w:hAnsiTheme="minorHAnsi" w:cstheme="minorHAnsi"/>
          <w:sz w:val="22"/>
          <w:szCs w:val="22"/>
        </w:rPr>
      </w:pPr>
    </w:p>
    <w:p w14:paraId="164CCF47" w14:textId="24F3F2FE" w:rsidR="00E62FF3" w:rsidRPr="008D40ED" w:rsidRDefault="00E62FF3" w:rsidP="540D3692">
      <w:pPr>
        <w:pStyle w:val="paragraph"/>
        <w:numPr>
          <w:ilvl w:val="0"/>
          <w:numId w:val="1"/>
        </w:numPr>
        <w:tabs>
          <w:tab w:val="left" w:pos="1440"/>
        </w:tabs>
        <w:spacing w:before="0" w:beforeAutospacing="0" w:after="0" w:afterAutospacing="0"/>
        <w:textAlignment w:val="baseline"/>
        <w:rPr>
          <w:rFonts w:asciiTheme="minorHAnsi" w:hAnsiTheme="minorHAnsi" w:cstheme="minorBidi"/>
          <w:sz w:val="22"/>
          <w:szCs w:val="22"/>
        </w:rPr>
      </w:pPr>
      <w:r w:rsidRPr="008D40ED">
        <w:rPr>
          <w:rFonts w:asciiTheme="minorHAnsi" w:hAnsiTheme="minorHAnsi" w:cstheme="minorBidi"/>
          <w:sz w:val="22"/>
          <w:szCs w:val="22"/>
        </w:rPr>
        <w:t xml:space="preserve">Contribute to the alignment between CFA Institute and CFA Societies that is critical in advancing our </w:t>
      </w:r>
      <w:r w:rsidR="00B7507F" w:rsidRPr="008D40ED">
        <w:rPr>
          <w:rFonts w:asciiTheme="minorHAnsi" w:hAnsiTheme="minorHAnsi" w:cstheme="minorBidi"/>
          <w:sz w:val="22"/>
          <w:szCs w:val="22"/>
        </w:rPr>
        <w:t>strateg</w:t>
      </w:r>
      <w:r w:rsidR="00C15983" w:rsidRPr="008D40ED">
        <w:rPr>
          <w:rFonts w:asciiTheme="minorHAnsi" w:hAnsiTheme="minorHAnsi" w:cstheme="minorBidi"/>
          <w:sz w:val="22"/>
          <w:szCs w:val="22"/>
        </w:rPr>
        <w:t>y and</w:t>
      </w:r>
      <w:r w:rsidR="00B7507F" w:rsidRPr="008D40ED">
        <w:rPr>
          <w:rFonts w:asciiTheme="minorHAnsi" w:hAnsiTheme="minorHAnsi" w:cstheme="minorBidi"/>
          <w:sz w:val="22"/>
          <w:szCs w:val="22"/>
        </w:rPr>
        <w:t xml:space="preserve"> </w:t>
      </w:r>
      <w:r w:rsidRPr="008D40ED">
        <w:rPr>
          <w:rFonts w:asciiTheme="minorHAnsi" w:hAnsiTheme="minorHAnsi" w:cstheme="minorBidi"/>
          <w:sz w:val="22"/>
          <w:szCs w:val="22"/>
        </w:rPr>
        <w:t>mission globally and delivering value to members.</w:t>
      </w:r>
      <w:r w:rsidR="00B7507F" w:rsidRPr="008D40ED">
        <w:rPr>
          <w:rStyle w:val="normaltextrun"/>
          <w:rFonts w:asciiTheme="minorHAnsi" w:eastAsiaTheme="majorEastAsia" w:hAnsiTheme="minorHAnsi" w:cstheme="minorBidi"/>
          <w:sz w:val="22"/>
          <w:szCs w:val="22"/>
        </w:rPr>
        <w:t xml:space="preserve"> Raise and evaluate matters of misalignment between CFA Institute and CFA Societies to the Board. </w:t>
      </w:r>
      <w:r w:rsidR="00B7507F" w:rsidRPr="008D40ED">
        <w:rPr>
          <w:rStyle w:val="eop"/>
          <w:rFonts w:asciiTheme="minorHAnsi" w:eastAsiaTheme="majorEastAsia" w:hAnsiTheme="minorHAnsi" w:cstheme="minorBidi"/>
          <w:sz w:val="22"/>
          <w:szCs w:val="22"/>
        </w:rPr>
        <w:t> </w:t>
      </w:r>
    </w:p>
    <w:p w14:paraId="59960994" w14:textId="77777777" w:rsidR="008D40ED" w:rsidRPr="008D40ED" w:rsidRDefault="00871372" w:rsidP="008D40ED">
      <w:pPr>
        <w:pStyle w:val="ListParagraph"/>
        <w:numPr>
          <w:ilvl w:val="0"/>
          <w:numId w:val="1"/>
        </w:numPr>
        <w:tabs>
          <w:tab w:val="left" w:pos="820"/>
          <w:tab w:val="left" w:pos="821"/>
        </w:tabs>
        <w:spacing w:line="233" w:lineRule="auto"/>
        <w:ind w:right="243"/>
        <w:rPr>
          <w:rStyle w:val="eop"/>
          <w:rFonts w:asciiTheme="minorHAnsi" w:hAnsiTheme="minorHAnsi" w:cstheme="minorBidi"/>
          <w:sz w:val="24"/>
          <w:szCs w:val="24"/>
        </w:rPr>
      </w:pPr>
      <w:r w:rsidRPr="008D40ED">
        <w:rPr>
          <w:rStyle w:val="normaltextrun"/>
          <w:rFonts w:asciiTheme="minorHAnsi" w:eastAsiaTheme="majorEastAsia" w:hAnsiTheme="minorHAnsi" w:cstheme="minorBidi"/>
        </w:rPr>
        <w:t>Present meaningful and balanced input to the Board on CFA Societ</w:t>
      </w:r>
      <w:r w:rsidR="2110002A" w:rsidRPr="008D40ED">
        <w:rPr>
          <w:rStyle w:val="normaltextrun"/>
          <w:rFonts w:asciiTheme="minorHAnsi" w:eastAsiaTheme="majorEastAsia" w:hAnsiTheme="minorHAnsi" w:cstheme="minorBidi"/>
        </w:rPr>
        <w:t>y-</w:t>
      </w:r>
      <w:r w:rsidRPr="008D40ED">
        <w:rPr>
          <w:rStyle w:val="normaltextrun"/>
          <w:rFonts w:asciiTheme="minorHAnsi" w:eastAsiaTheme="majorEastAsia" w:hAnsiTheme="minorHAnsi" w:cstheme="minorBidi"/>
        </w:rPr>
        <w:t xml:space="preserve">related matters to represent </w:t>
      </w:r>
      <w:proofErr w:type="gramStart"/>
      <w:r w:rsidR="64BA4202" w:rsidRPr="008D40ED">
        <w:rPr>
          <w:rStyle w:val="normaltextrun"/>
          <w:rFonts w:asciiTheme="minorHAnsi" w:eastAsiaTheme="majorEastAsia" w:hAnsiTheme="minorHAnsi" w:cstheme="minorBidi"/>
        </w:rPr>
        <w:t>s</w:t>
      </w:r>
      <w:r w:rsidRPr="008D40ED">
        <w:rPr>
          <w:rStyle w:val="normaltextrun"/>
          <w:rFonts w:asciiTheme="minorHAnsi" w:eastAsiaTheme="majorEastAsia" w:hAnsiTheme="minorHAnsi" w:cstheme="minorBidi"/>
        </w:rPr>
        <w:t>ociety</w:t>
      </w:r>
      <w:proofErr w:type="gramEnd"/>
      <w:r w:rsidRPr="008D40ED">
        <w:rPr>
          <w:rStyle w:val="normaltextrun"/>
          <w:rFonts w:asciiTheme="minorHAnsi" w:eastAsiaTheme="majorEastAsia" w:hAnsiTheme="minorHAnsi" w:cstheme="minorBidi"/>
        </w:rPr>
        <w:t xml:space="preserve"> interests. </w:t>
      </w:r>
      <w:r w:rsidRPr="008D40ED">
        <w:rPr>
          <w:rStyle w:val="eop"/>
          <w:rFonts w:asciiTheme="minorHAnsi" w:eastAsiaTheme="majorEastAsia" w:hAnsiTheme="minorHAnsi" w:cstheme="minorBidi"/>
        </w:rPr>
        <w:t> </w:t>
      </w:r>
    </w:p>
    <w:p w14:paraId="397AF949" w14:textId="42CD5080" w:rsidR="00E62FF3" w:rsidRPr="008D40ED" w:rsidRDefault="00E62FF3" w:rsidP="008D40ED">
      <w:pPr>
        <w:pStyle w:val="ListParagraph"/>
        <w:numPr>
          <w:ilvl w:val="0"/>
          <w:numId w:val="1"/>
        </w:numPr>
        <w:tabs>
          <w:tab w:val="left" w:pos="820"/>
          <w:tab w:val="left" w:pos="821"/>
        </w:tabs>
        <w:spacing w:line="233" w:lineRule="auto"/>
        <w:ind w:right="243"/>
        <w:rPr>
          <w:rFonts w:asciiTheme="minorHAnsi" w:hAnsiTheme="minorHAnsi" w:cstheme="minorBidi"/>
          <w:sz w:val="24"/>
          <w:szCs w:val="24"/>
        </w:rPr>
      </w:pPr>
      <w:r w:rsidRPr="008D40ED">
        <w:rPr>
          <w:rStyle w:val="normaltextrun"/>
          <w:rFonts w:asciiTheme="minorHAnsi" w:eastAsiaTheme="majorEastAsia" w:hAnsiTheme="minorHAnsi" w:cstheme="minorBidi"/>
        </w:rPr>
        <w:t>Assess and share society network market insights</w:t>
      </w:r>
      <w:r w:rsidR="00B7507F" w:rsidRPr="008D40ED">
        <w:rPr>
          <w:rStyle w:val="normaltextrun"/>
          <w:rFonts w:asciiTheme="minorHAnsi" w:eastAsiaTheme="majorEastAsia" w:hAnsiTheme="minorHAnsi" w:cstheme="minorBidi"/>
        </w:rPr>
        <w:t>, perspectives,</w:t>
      </w:r>
      <w:r w:rsidRPr="008D40ED">
        <w:rPr>
          <w:rStyle w:val="normaltextrun"/>
          <w:rFonts w:asciiTheme="minorHAnsi" w:eastAsiaTheme="majorEastAsia" w:hAnsiTheme="minorHAnsi" w:cstheme="minorBidi"/>
        </w:rPr>
        <w:t xml:space="preserve"> and sentiment</w:t>
      </w:r>
      <w:r w:rsidR="5C1F5F13" w:rsidRPr="008D40ED">
        <w:rPr>
          <w:rStyle w:val="normaltextrun"/>
          <w:rFonts w:asciiTheme="minorHAnsi" w:eastAsiaTheme="majorEastAsia" w:hAnsiTheme="minorHAnsi" w:cstheme="minorBidi"/>
        </w:rPr>
        <w:t xml:space="preserve"> </w:t>
      </w:r>
      <w:r w:rsidR="5C1F5F13" w:rsidRPr="008D40ED">
        <w:rPr>
          <w:rFonts w:asciiTheme="minorHAnsi" w:hAnsiTheme="minorHAnsi" w:cstheme="minorHAnsi"/>
        </w:rPr>
        <w:t>providing regular reports to the Board to inform decision-making.</w:t>
      </w:r>
      <w:r w:rsidRPr="008D40ED">
        <w:rPr>
          <w:rStyle w:val="normaltextrun"/>
          <w:rFonts w:asciiTheme="minorHAnsi" w:eastAsiaTheme="majorEastAsia" w:hAnsiTheme="minorHAnsi" w:cstheme="minorBidi"/>
        </w:rPr>
        <w:t xml:space="preserve"> </w:t>
      </w:r>
    </w:p>
    <w:p w14:paraId="2584D7CB" w14:textId="57640279" w:rsidR="133C0F19" w:rsidRPr="008D40ED" w:rsidRDefault="133C0F19" w:rsidP="540D3692">
      <w:pPr>
        <w:pStyle w:val="paragraph"/>
        <w:numPr>
          <w:ilvl w:val="0"/>
          <w:numId w:val="1"/>
        </w:numPr>
        <w:tabs>
          <w:tab w:val="left" w:pos="1440"/>
        </w:tabs>
        <w:spacing w:before="0" w:beforeAutospacing="0" w:after="0" w:afterAutospacing="0"/>
        <w:rPr>
          <w:rFonts w:asciiTheme="minorHAnsi" w:hAnsiTheme="minorHAnsi" w:cstheme="minorHAnsi"/>
          <w:sz w:val="20"/>
          <w:szCs w:val="20"/>
        </w:rPr>
      </w:pPr>
      <w:proofErr w:type="gramStart"/>
      <w:r w:rsidRPr="008D40ED">
        <w:rPr>
          <w:rFonts w:asciiTheme="minorHAnsi" w:hAnsiTheme="minorHAnsi" w:cstheme="minorHAnsi"/>
          <w:sz w:val="22"/>
          <w:szCs w:val="22"/>
        </w:rPr>
        <w:t>Advise</w:t>
      </w:r>
      <w:proofErr w:type="gramEnd"/>
      <w:r w:rsidRPr="008D40ED">
        <w:rPr>
          <w:rFonts w:asciiTheme="minorHAnsi" w:hAnsiTheme="minorHAnsi" w:cstheme="minorHAnsi"/>
          <w:sz w:val="22"/>
          <w:szCs w:val="22"/>
        </w:rPr>
        <w:t xml:space="preserve"> on society funding models, membership growth strategies, network governance, and enterprise-level strategic initiatives impacting societies, incorporating society perspectives to inform the Board’s decisions. </w:t>
      </w:r>
    </w:p>
    <w:p w14:paraId="2CE7BCAF" w14:textId="77777777" w:rsidR="00E62FF3" w:rsidRPr="00F72276" w:rsidRDefault="00E62FF3" w:rsidP="00B80F8D">
      <w:pPr>
        <w:pStyle w:val="BodyText"/>
        <w:spacing w:before="31" w:line="233" w:lineRule="auto"/>
        <w:ind w:right="424"/>
        <w:rPr>
          <w:rFonts w:asciiTheme="minorHAnsi" w:hAnsiTheme="minorHAnsi" w:cstheme="minorHAnsi"/>
          <w:sz w:val="22"/>
          <w:szCs w:val="22"/>
        </w:rPr>
      </w:pPr>
    </w:p>
    <w:p w14:paraId="248E071F" w14:textId="77777777" w:rsidR="00E62FF3" w:rsidRPr="008D40ED" w:rsidRDefault="00E62FF3" w:rsidP="00E62FF3">
      <w:pPr>
        <w:pStyle w:val="paragraph"/>
        <w:spacing w:before="0" w:beforeAutospacing="0" w:after="0" w:afterAutospacing="0"/>
        <w:textAlignment w:val="baseline"/>
        <w:rPr>
          <w:rFonts w:asciiTheme="minorHAnsi" w:hAnsiTheme="minorHAnsi" w:cstheme="minorHAnsi"/>
          <w:sz w:val="20"/>
          <w:szCs w:val="20"/>
        </w:rPr>
      </w:pPr>
      <w:r w:rsidRPr="008D40ED">
        <w:rPr>
          <w:rStyle w:val="normaltextrun"/>
          <w:rFonts w:asciiTheme="minorHAnsi" w:eastAsiaTheme="majorEastAsia" w:hAnsiTheme="minorHAnsi" w:cstheme="minorHAnsi"/>
          <w:sz w:val="22"/>
          <w:szCs w:val="22"/>
        </w:rPr>
        <w:t>SPSC’s focus complements the role of Presidents Council Representatives (PCRs) by addressing strategic topics distinct from operational or network-wide alignment efforts. SPSC considers and relies on feedback and input collected by PCRs as well as management recommendations and insights in its deliberations on strategic matters and any related recommendations to the Board of Governors.</w:t>
      </w:r>
    </w:p>
    <w:p w14:paraId="544E2A40" w14:textId="77777777" w:rsidR="00E5309C" w:rsidRPr="008D40ED" w:rsidRDefault="00E5309C" w:rsidP="008D40ED">
      <w:pPr>
        <w:tabs>
          <w:tab w:val="left" w:pos="820"/>
          <w:tab w:val="left" w:pos="821"/>
        </w:tabs>
        <w:spacing w:before="1" w:line="233" w:lineRule="auto"/>
        <w:ind w:right="210"/>
        <w:rPr>
          <w:rFonts w:asciiTheme="minorHAnsi" w:hAnsiTheme="minorHAnsi" w:cstheme="minorHAnsi"/>
        </w:rPr>
      </w:pPr>
    </w:p>
    <w:p w14:paraId="056E1604" w14:textId="77777777" w:rsidR="00F11154" w:rsidRPr="00F72276" w:rsidRDefault="00A92B6E" w:rsidP="00B80F8D">
      <w:pPr>
        <w:pStyle w:val="Heading1"/>
        <w:spacing w:line="233" w:lineRule="auto"/>
        <w:ind w:left="0"/>
        <w:rPr>
          <w:rFonts w:asciiTheme="minorHAnsi" w:hAnsiTheme="minorHAnsi" w:cstheme="minorHAnsi"/>
        </w:rPr>
      </w:pPr>
      <w:r w:rsidRPr="00F72276">
        <w:rPr>
          <w:rFonts w:asciiTheme="minorHAnsi" w:hAnsiTheme="minorHAnsi" w:cstheme="minorHAnsi"/>
          <w:color w:val="808080"/>
        </w:rPr>
        <w:t>Membership</w:t>
      </w:r>
    </w:p>
    <w:p w14:paraId="04548485" w14:textId="7A15781F" w:rsidR="0069591E" w:rsidRPr="00F72276" w:rsidRDefault="0069591E" w:rsidP="00B80F8D">
      <w:pPr>
        <w:pStyle w:val="BodyText"/>
        <w:spacing w:before="32" w:line="233" w:lineRule="auto"/>
        <w:ind w:right="246"/>
        <w:rPr>
          <w:rFonts w:asciiTheme="minorHAnsi" w:hAnsiTheme="minorHAnsi" w:cstheme="minorHAnsi"/>
          <w:sz w:val="22"/>
          <w:szCs w:val="22"/>
        </w:rPr>
      </w:pPr>
      <w:r w:rsidRPr="00F72276">
        <w:rPr>
          <w:rFonts w:asciiTheme="minorHAnsi" w:hAnsiTheme="minorHAnsi" w:cstheme="minorHAnsi"/>
          <w:sz w:val="22"/>
          <w:szCs w:val="22"/>
        </w:rPr>
        <w:t>The Council shall be composed of the following members:</w:t>
      </w:r>
    </w:p>
    <w:p w14:paraId="24AE3E37" w14:textId="77777777" w:rsidR="008D19E7" w:rsidRPr="00F72276" w:rsidRDefault="008D19E7" w:rsidP="00B80F8D">
      <w:pPr>
        <w:pStyle w:val="BodyText"/>
        <w:spacing w:before="32" w:line="233" w:lineRule="auto"/>
        <w:ind w:right="246"/>
        <w:rPr>
          <w:rFonts w:asciiTheme="minorHAnsi" w:hAnsiTheme="minorHAnsi" w:cstheme="minorHAnsi"/>
          <w:szCs w:val="22"/>
        </w:rPr>
      </w:pPr>
    </w:p>
    <w:p w14:paraId="054417BF" w14:textId="434C108B" w:rsidR="008D19E7" w:rsidRPr="00F72276" w:rsidRDefault="00A615FF" w:rsidP="00B80F8D">
      <w:pPr>
        <w:pStyle w:val="BodyText"/>
        <w:numPr>
          <w:ilvl w:val="0"/>
          <w:numId w:val="2"/>
        </w:numPr>
        <w:spacing w:before="32" w:line="233" w:lineRule="auto"/>
        <w:ind w:right="246"/>
        <w:rPr>
          <w:rFonts w:asciiTheme="minorHAnsi" w:hAnsiTheme="minorHAnsi" w:cstheme="minorHAnsi"/>
          <w:sz w:val="22"/>
          <w:szCs w:val="22"/>
        </w:rPr>
      </w:pPr>
      <w:r w:rsidRPr="00F72276">
        <w:rPr>
          <w:rFonts w:asciiTheme="minorHAnsi" w:hAnsiTheme="minorHAnsi" w:cstheme="minorHAnsi"/>
          <w:sz w:val="22"/>
          <w:szCs w:val="22"/>
        </w:rPr>
        <w:t xml:space="preserve">Minimum of two Governors </w:t>
      </w:r>
      <w:r w:rsidR="000D2938" w:rsidRPr="00F72276">
        <w:rPr>
          <w:rFonts w:asciiTheme="minorHAnsi" w:hAnsiTheme="minorHAnsi" w:cstheme="minorHAnsi"/>
          <w:sz w:val="22"/>
          <w:szCs w:val="22"/>
        </w:rPr>
        <w:t>appointed by the Board</w:t>
      </w:r>
      <w:r w:rsidR="004418A1" w:rsidRPr="00F72276">
        <w:rPr>
          <w:rFonts w:asciiTheme="minorHAnsi" w:hAnsiTheme="minorHAnsi" w:cstheme="minorHAnsi"/>
          <w:sz w:val="22"/>
          <w:szCs w:val="22"/>
        </w:rPr>
        <w:t>.</w:t>
      </w:r>
    </w:p>
    <w:p w14:paraId="072A4B96" w14:textId="17136451" w:rsidR="00CD26F6" w:rsidRPr="00F72276" w:rsidRDefault="007479FA" w:rsidP="00B80F8D">
      <w:pPr>
        <w:pStyle w:val="BodyText"/>
        <w:numPr>
          <w:ilvl w:val="0"/>
          <w:numId w:val="2"/>
        </w:numPr>
        <w:spacing w:before="32" w:line="233" w:lineRule="auto"/>
        <w:ind w:right="246"/>
        <w:rPr>
          <w:rFonts w:asciiTheme="minorHAnsi" w:hAnsiTheme="minorHAnsi" w:cstheme="minorHAnsi"/>
          <w:sz w:val="22"/>
          <w:szCs w:val="22"/>
        </w:rPr>
      </w:pPr>
      <w:r w:rsidRPr="008D40ED">
        <w:rPr>
          <w:rFonts w:asciiTheme="minorHAnsi" w:hAnsiTheme="minorHAnsi" w:cstheme="minorHAnsi"/>
          <w:sz w:val="22"/>
          <w:szCs w:val="22"/>
        </w:rPr>
        <w:t xml:space="preserve">Three </w:t>
      </w:r>
      <w:r w:rsidR="00CD26F6" w:rsidRPr="00F72276">
        <w:rPr>
          <w:rFonts w:asciiTheme="minorHAnsi" w:hAnsiTheme="minorHAnsi" w:cstheme="minorHAnsi"/>
          <w:sz w:val="22"/>
          <w:szCs w:val="22"/>
        </w:rPr>
        <w:t xml:space="preserve">Presidents Council </w:t>
      </w:r>
      <w:r w:rsidR="00386348" w:rsidRPr="008D40ED">
        <w:rPr>
          <w:rFonts w:asciiTheme="minorHAnsi" w:hAnsiTheme="minorHAnsi" w:cstheme="minorHAnsi"/>
          <w:sz w:val="22"/>
          <w:szCs w:val="22"/>
        </w:rPr>
        <w:t xml:space="preserve">Regional Vice Chairs </w:t>
      </w:r>
      <w:r w:rsidR="00CD26F6" w:rsidRPr="00F72276">
        <w:rPr>
          <w:rFonts w:asciiTheme="minorHAnsi" w:hAnsiTheme="minorHAnsi" w:cstheme="minorHAnsi"/>
          <w:sz w:val="22"/>
          <w:szCs w:val="22"/>
        </w:rPr>
        <w:t>appointed by the PCRs.</w:t>
      </w:r>
    </w:p>
    <w:p w14:paraId="36963FC1" w14:textId="6EFAB5BC" w:rsidR="00EC4B51" w:rsidRPr="00F72276" w:rsidRDefault="000332EB" w:rsidP="00B80F8D">
      <w:pPr>
        <w:pStyle w:val="BodyText"/>
        <w:numPr>
          <w:ilvl w:val="0"/>
          <w:numId w:val="2"/>
        </w:numPr>
        <w:spacing w:before="32" w:line="233" w:lineRule="auto"/>
        <w:ind w:right="246"/>
        <w:rPr>
          <w:rFonts w:asciiTheme="minorHAnsi" w:hAnsiTheme="minorHAnsi" w:cstheme="minorHAnsi"/>
          <w:sz w:val="22"/>
          <w:szCs w:val="22"/>
        </w:rPr>
      </w:pPr>
      <w:r w:rsidRPr="00F72276">
        <w:rPr>
          <w:rFonts w:asciiTheme="minorHAnsi" w:hAnsiTheme="minorHAnsi" w:cstheme="minorHAnsi"/>
          <w:sz w:val="22"/>
          <w:szCs w:val="22"/>
        </w:rPr>
        <w:t xml:space="preserve">Presidents Council </w:t>
      </w:r>
      <w:r w:rsidR="004C6A75" w:rsidRPr="00F72276">
        <w:rPr>
          <w:rFonts w:asciiTheme="minorHAnsi" w:hAnsiTheme="minorHAnsi" w:cstheme="minorHAnsi"/>
          <w:sz w:val="22"/>
          <w:szCs w:val="22"/>
        </w:rPr>
        <w:t>(the “PC”</w:t>
      </w:r>
      <w:r w:rsidR="00EC4B51" w:rsidRPr="00F72276">
        <w:rPr>
          <w:rFonts w:asciiTheme="minorHAnsi" w:hAnsiTheme="minorHAnsi" w:cstheme="minorHAnsi"/>
          <w:sz w:val="22"/>
          <w:szCs w:val="22"/>
        </w:rPr>
        <w:t xml:space="preserve">) </w:t>
      </w:r>
      <w:r w:rsidR="00791189" w:rsidRPr="00F72276">
        <w:rPr>
          <w:rFonts w:asciiTheme="minorHAnsi" w:hAnsiTheme="minorHAnsi" w:cstheme="minorHAnsi"/>
          <w:sz w:val="22"/>
          <w:szCs w:val="22"/>
        </w:rPr>
        <w:t>Chair</w:t>
      </w:r>
      <w:r w:rsidR="008D40ED">
        <w:rPr>
          <w:rFonts w:asciiTheme="minorHAnsi" w:hAnsiTheme="minorHAnsi" w:cstheme="minorHAnsi"/>
          <w:sz w:val="22"/>
          <w:szCs w:val="22"/>
        </w:rPr>
        <w:t>.</w:t>
      </w:r>
    </w:p>
    <w:p w14:paraId="760EF33C" w14:textId="7329F160" w:rsidR="00EC4B51" w:rsidRPr="00F72276" w:rsidRDefault="005D2647" w:rsidP="00B80F8D">
      <w:pPr>
        <w:pStyle w:val="BodyText"/>
        <w:numPr>
          <w:ilvl w:val="0"/>
          <w:numId w:val="2"/>
        </w:numPr>
        <w:spacing w:before="32" w:line="233" w:lineRule="auto"/>
        <w:ind w:right="246"/>
        <w:rPr>
          <w:rFonts w:asciiTheme="minorHAnsi" w:hAnsiTheme="minorHAnsi" w:cstheme="minorHAnsi"/>
          <w:sz w:val="22"/>
          <w:szCs w:val="22"/>
        </w:rPr>
      </w:pPr>
      <w:r w:rsidRPr="00F72276">
        <w:rPr>
          <w:rFonts w:asciiTheme="minorHAnsi" w:hAnsiTheme="minorHAnsi" w:cstheme="minorHAnsi"/>
          <w:sz w:val="22"/>
          <w:szCs w:val="22"/>
        </w:rPr>
        <w:t>Managing Director</w:t>
      </w:r>
      <w:r w:rsidR="007479FA" w:rsidRPr="00F72276">
        <w:rPr>
          <w:rFonts w:asciiTheme="minorHAnsi" w:hAnsiTheme="minorHAnsi" w:cstheme="minorHAnsi"/>
          <w:sz w:val="22"/>
          <w:szCs w:val="22"/>
        </w:rPr>
        <w:t xml:space="preserve">, </w:t>
      </w:r>
      <w:r w:rsidR="000F21BA" w:rsidRPr="00F72276">
        <w:rPr>
          <w:rFonts w:asciiTheme="minorHAnsi" w:hAnsiTheme="minorHAnsi" w:cstheme="minorHAnsi"/>
          <w:sz w:val="22"/>
          <w:szCs w:val="22"/>
        </w:rPr>
        <w:t xml:space="preserve">Global </w:t>
      </w:r>
      <w:r w:rsidR="007479FA" w:rsidRPr="008D40ED">
        <w:rPr>
          <w:rFonts w:asciiTheme="minorHAnsi" w:hAnsiTheme="minorHAnsi" w:cstheme="minorHAnsi"/>
          <w:sz w:val="22"/>
          <w:szCs w:val="22"/>
        </w:rPr>
        <w:t xml:space="preserve">Member &amp; </w:t>
      </w:r>
      <w:r w:rsidR="000F21BA" w:rsidRPr="00F72276">
        <w:rPr>
          <w:rFonts w:asciiTheme="minorHAnsi" w:hAnsiTheme="minorHAnsi" w:cstheme="minorHAnsi"/>
          <w:sz w:val="22"/>
          <w:szCs w:val="22"/>
        </w:rPr>
        <w:t>Society Relations at CFA Institute</w:t>
      </w:r>
      <w:r w:rsidR="00D945FC" w:rsidRPr="00F72276">
        <w:rPr>
          <w:rFonts w:asciiTheme="minorHAnsi" w:hAnsiTheme="minorHAnsi" w:cstheme="minorHAnsi"/>
          <w:sz w:val="22"/>
          <w:szCs w:val="22"/>
        </w:rPr>
        <w:t>.</w:t>
      </w:r>
    </w:p>
    <w:p w14:paraId="29ACB79E" w14:textId="77777777" w:rsidR="0069591E" w:rsidRPr="00F72276" w:rsidRDefault="0069591E" w:rsidP="00B80F8D">
      <w:pPr>
        <w:pStyle w:val="BodyText"/>
        <w:spacing w:before="32" w:line="233" w:lineRule="auto"/>
        <w:ind w:left="100" w:right="246"/>
        <w:rPr>
          <w:rFonts w:asciiTheme="minorHAnsi" w:hAnsiTheme="minorHAnsi" w:cstheme="minorHAnsi"/>
          <w:sz w:val="22"/>
          <w:szCs w:val="22"/>
        </w:rPr>
      </w:pPr>
    </w:p>
    <w:p w14:paraId="530E64AE" w14:textId="231AE5B5" w:rsidR="00A84250" w:rsidRPr="00F72276" w:rsidRDefault="00A84250" w:rsidP="00B80F8D">
      <w:pPr>
        <w:pStyle w:val="BodyText"/>
        <w:spacing w:before="32" w:line="233" w:lineRule="auto"/>
        <w:ind w:right="246"/>
        <w:rPr>
          <w:rFonts w:asciiTheme="minorHAnsi" w:hAnsiTheme="minorHAnsi" w:cstheme="minorHAnsi"/>
          <w:sz w:val="22"/>
          <w:szCs w:val="22"/>
        </w:rPr>
      </w:pPr>
      <w:r w:rsidRPr="00F72276">
        <w:rPr>
          <w:rFonts w:asciiTheme="minorHAnsi" w:hAnsiTheme="minorHAnsi" w:cstheme="minorHAnsi"/>
          <w:sz w:val="22"/>
          <w:szCs w:val="22"/>
        </w:rPr>
        <w:t xml:space="preserve">The Council </w:t>
      </w:r>
      <w:r w:rsidR="00357292" w:rsidRPr="00F72276">
        <w:rPr>
          <w:rFonts w:asciiTheme="minorHAnsi" w:hAnsiTheme="minorHAnsi" w:cstheme="minorHAnsi"/>
          <w:sz w:val="22"/>
          <w:szCs w:val="22"/>
        </w:rPr>
        <w:t>shall have two Co-Chairs</w:t>
      </w:r>
      <w:r w:rsidR="00D96942" w:rsidRPr="00F72276">
        <w:rPr>
          <w:rFonts w:asciiTheme="minorHAnsi" w:hAnsiTheme="minorHAnsi" w:cstheme="minorHAnsi"/>
          <w:sz w:val="22"/>
          <w:szCs w:val="22"/>
        </w:rPr>
        <w:t xml:space="preserve">. One of the Council’s Co-Chair’s </w:t>
      </w:r>
      <w:r w:rsidR="00C53611" w:rsidRPr="00F72276">
        <w:rPr>
          <w:rFonts w:asciiTheme="minorHAnsi" w:hAnsiTheme="minorHAnsi" w:cstheme="minorHAnsi"/>
          <w:sz w:val="22"/>
          <w:szCs w:val="22"/>
        </w:rPr>
        <w:t>will</w:t>
      </w:r>
      <w:r w:rsidR="008E3F5D" w:rsidRPr="00F72276">
        <w:rPr>
          <w:rFonts w:asciiTheme="minorHAnsi" w:hAnsiTheme="minorHAnsi" w:cstheme="minorHAnsi"/>
          <w:sz w:val="22"/>
          <w:szCs w:val="22"/>
        </w:rPr>
        <w:t xml:space="preserve"> be </w:t>
      </w:r>
      <w:r w:rsidR="00352247" w:rsidRPr="00F72276">
        <w:rPr>
          <w:rFonts w:asciiTheme="minorHAnsi" w:hAnsiTheme="minorHAnsi" w:cstheme="minorHAnsi"/>
          <w:sz w:val="22"/>
          <w:szCs w:val="22"/>
        </w:rPr>
        <w:t>a</w:t>
      </w:r>
      <w:r w:rsidR="000913E9" w:rsidRPr="00F72276">
        <w:rPr>
          <w:rFonts w:asciiTheme="minorHAnsi" w:hAnsiTheme="minorHAnsi" w:cstheme="minorHAnsi"/>
          <w:sz w:val="22"/>
          <w:szCs w:val="22"/>
        </w:rPr>
        <w:t xml:space="preserve"> Governor </w:t>
      </w:r>
      <w:r w:rsidR="00F257BE" w:rsidRPr="00F72276">
        <w:rPr>
          <w:rFonts w:asciiTheme="minorHAnsi" w:hAnsiTheme="minorHAnsi" w:cstheme="minorHAnsi"/>
          <w:sz w:val="22"/>
          <w:szCs w:val="22"/>
        </w:rPr>
        <w:t xml:space="preserve">appointed </w:t>
      </w:r>
      <w:r w:rsidR="008E3F5D" w:rsidRPr="00F72276">
        <w:rPr>
          <w:rFonts w:asciiTheme="minorHAnsi" w:hAnsiTheme="minorHAnsi" w:cstheme="minorHAnsi"/>
          <w:sz w:val="22"/>
          <w:szCs w:val="22"/>
        </w:rPr>
        <w:t>by the Board</w:t>
      </w:r>
      <w:r w:rsidR="007479FA" w:rsidRPr="008D40ED">
        <w:rPr>
          <w:rFonts w:asciiTheme="minorHAnsi" w:hAnsiTheme="minorHAnsi" w:cstheme="minorHAnsi"/>
          <w:sz w:val="22"/>
          <w:szCs w:val="22"/>
        </w:rPr>
        <w:t xml:space="preserve">, and </w:t>
      </w:r>
      <w:r w:rsidR="007479FA" w:rsidRPr="00F72276">
        <w:rPr>
          <w:rFonts w:asciiTheme="minorHAnsi" w:hAnsiTheme="minorHAnsi" w:cstheme="minorHAnsi"/>
          <w:sz w:val="22"/>
          <w:szCs w:val="22"/>
        </w:rPr>
        <w:t xml:space="preserve">the </w:t>
      </w:r>
      <w:r w:rsidR="00C53611" w:rsidRPr="00F72276">
        <w:rPr>
          <w:rFonts w:asciiTheme="minorHAnsi" w:hAnsiTheme="minorHAnsi" w:cstheme="minorHAnsi"/>
          <w:sz w:val="22"/>
          <w:szCs w:val="22"/>
        </w:rPr>
        <w:t xml:space="preserve">other Co-Chair will be </w:t>
      </w:r>
      <w:r w:rsidR="000E5A13" w:rsidRPr="00F72276">
        <w:rPr>
          <w:rFonts w:asciiTheme="minorHAnsi" w:hAnsiTheme="minorHAnsi" w:cstheme="minorHAnsi"/>
          <w:sz w:val="22"/>
          <w:szCs w:val="22"/>
        </w:rPr>
        <w:t>the PC Chair.</w:t>
      </w:r>
    </w:p>
    <w:p w14:paraId="33416EBF" w14:textId="77777777" w:rsidR="00F45B9B" w:rsidRPr="00F72276" w:rsidRDefault="00F45B9B" w:rsidP="00B80F8D">
      <w:pPr>
        <w:pStyle w:val="BodyText"/>
        <w:spacing w:before="9" w:line="233" w:lineRule="auto"/>
        <w:rPr>
          <w:rFonts w:asciiTheme="minorHAnsi" w:hAnsiTheme="minorHAnsi" w:cstheme="minorHAnsi"/>
          <w:sz w:val="22"/>
        </w:rPr>
      </w:pPr>
    </w:p>
    <w:p w14:paraId="49406AD4" w14:textId="77777777" w:rsidR="00F11154" w:rsidRPr="00F72276" w:rsidRDefault="00A92B6E" w:rsidP="00B80F8D">
      <w:pPr>
        <w:pStyle w:val="Heading1"/>
        <w:spacing w:line="233" w:lineRule="auto"/>
        <w:ind w:left="0"/>
        <w:rPr>
          <w:rFonts w:asciiTheme="minorHAnsi" w:hAnsiTheme="minorHAnsi" w:cstheme="minorHAnsi"/>
        </w:rPr>
      </w:pPr>
      <w:r w:rsidRPr="00F72276">
        <w:rPr>
          <w:rFonts w:asciiTheme="minorHAnsi" w:hAnsiTheme="minorHAnsi" w:cstheme="minorHAnsi"/>
          <w:color w:val="808080"/>
        </w:rPr>
        <w:t>Meetings</w:t>
      </w:r>
    </w:p>
    <w:p w14:paraId="474F2A72" w14:textId="3CCACADE" w:rsidR="00F11154" w:rsidRPr="008D40ED" w:rsidRDefault="00A92B6E" w:rsidP="00B80F8D">
      <w:pPr>
        <w:pStyle w:val="BodyText"/>
        <w:spacing w:before="34" w:line="233" w:lineRule="auto"/>
        <w:rPr>
          <w:rFonts w:asciiTheme="minorHAnsi" w:hAnsiTheme="minorHAnsi" w:cstheme="minorHAnsi"/>
          <w:sz w:val="22"/>
          <w:szCs w:val="22"/>
        </w:rPr>
      </w:pPr>
      <w:r w:rsidRPr="00F72276">
        <w:rPr>
          <w:rFonts w:asciiTheme="minorHAnsi" w:hAnsiTheme="minorHAnsi" w:cstheme="minorHAnsi"/>
          <w:sz w:val="22"/>
          <w:szCs w:val="22"/>
        </w:rPr>
        <w:t>The Co-Chairs shall preside at meetings of the Council.</w:t>
      </w:r>
      <w:r w:rsidR="006D3A01" w:rsidRPr="00F72276">
        <w:rPr>
          <w:rFonts w:asciiTheme="minorHAnsi" w:hAnsiTheme="minorHAnsi" w:cstheme="minorHAnsi"/>
          <w:sz w:val="22"/>
          <w:szCs w:val="22"/>
        </w:rPr>
        <w:t xml:space="preserve"> </w:t>
      </w:r>
      <w:bookmarkStart w:id="0" w:name="_Hlk186807224"/>
      <w:r w:rsidR="006D3A01" w:rsidRPr="008D40ED">
        <w:rPr>
          <w:rFonts w:asciiTheme="minorHAnsi" w:hAnsiTheme="minorHAnsi" w:cstheme="minorHAnsi"/>
          <w:sz w:val="22"/>
          <w:szCs w:val="22"/>
        </w:rPr>
        <w:t xml:space="preserve">The Council shall meet </w:t>
      </w:r>
      <w:r w:rsidR="00CE2752" w:rsidRPr="008D40ED">
        <w:rPr>
          <w:rFonts w:asciiTheme="minorHAnsi" w:hAnsiTheme="minorHAnsi" w:cstheme="minorHAnsi"/>
          <w:sz w:val="22"/>
          <w:szCs w:val="22"/>
        </w:rPr>
        <w:t xml:space="preserve">at least two times per year and </w:t>
      </w:r>
      <w:r w:rsidR="00A41960" w:rsidRPr="008D40ED">
        <w:rPr>
          <w:rFonts w:asciiTheme="minorHAnsi" w:hAnsiTheme="minorHAnsi" w:cstheme="minorHAnsi"/>
          <w:sz w:val="22"/>
          <w:szCs w:val="22"/>
        </w:rPr>
        <w:t xml:space="preserve">up to </w:t>
      </w:r>
      <w:r w:rsidR="00A13C95" w:rsidRPr="008D40ED">
        <w:rPr>
          <w:rFonts w:asciiTheme="minorHAnsi" w:hAnsiTheme="minorHAnsi" w:cstheme="minorHAnsi"/>
          <w:sz w:val="22"/>
          <w:szCs w:val="22"/>
        </w:rPr>
        <w:t>six</w:t>
      </w:r>
      <w:r w:rsidR="00A41960" w:rsidRPr="008D40ED">
        <w:rPr>
          <w:rFonts w:asciiTheme="minorHAnsi" w:hAnsiTheme="minorHAnsi" w:cstheme="minorHAnsi"/>
          <w:sz w:val="22"/>
          <w:szCs w:val="22"/>
        </w:rPr>
        <w:t xml:space="preserve"> times</w:t>
      </w:r>
      <w:r w:rsidR="006D3A01" w:rsidRPr="008D40ED">
        <w:rPr>
          <w:rFonts w:asciiTheme="minorHAnsi" w:hAnsiTheme="minorHAnsi" w:cstheme="minorHAnsi"/>
          <w:sz w:val="22"/>
          <w:szCs w:val="22"/>
        </w:rPr>
        <w:t xml:space="preserve"> per year, in-person and/or via telephonic or video conference. </w:t>
      </w:r>
    </w:p>
    <w:bookmarkEnd w:id="0"/>
    <w:p w14:paraId="431C32AD" w14:textId="77777777" w:rsidR="00F11154" w:rsidRPr="00F72276" w:rsidRDefault="00F11154" w:rsidP="00B80F8D">
      <w:pPr>
        <w:pStyle w:val="BodyText"/>
        <w:spacing w:before="2" w:line="233" w:lineRule="auto"/>
        <w:rPr>
          <w:rFonts w:asciiTheme="minorHAnsi" w:hAnsiTheme="minorHAnsi" w:cstheme="minorHAnsi"/>
          <w:sz w:val="22"/>
          <w:szCs w:val="22"/>
        </w:rPr>
      </w:pPr>
    </w:p>
    <w:p w14:paraId="2BD0F9D4" w14:textId="60D38606" w:rsidR="00F11154" w:rsidRPr="00F72276" w:rsidRDefault="00A92B6E" w:rsidP="00B80F8D">
      <w:pPr>
        <w:pStyle w:val="BodyText"/>
        <w:spacing w:before="1" w:line="233" w:lineRule="auto"/>
        <w:ind w:right="234"/>
        <w:rPr>
          <w:rFonts w:asciiTheme="minorHAnsi" w:hAnsiTheme="minorHAnsi" w:cstheme="minorHAnsi"/>
          <w:sz w:val="22"/>
          <w:szCs w:val="22"/>
        </w:rPr>
      </w:pPr>
      <w:r w:rsidRPr="00F72276">
        <w:rPr>
          <w:rFonts w:asciiTheme="minorHAnsi" w:hAnsiTheme="minorHAnsi" w:cstheme="minorHAnsi"/>
          <w:sz w:val="22"/>
          <w:szCs w:val="22"/>
        </w:rPr>
        <w:t>The Co-Chairs of the Council will jointly establish the agenda for each meeting</w:t>
      </w:r>
      <w:r w:rsidR="00575AEE" w:rsidRPr="00F72276">
        <w:rPr>
          <w:rFonts w:asciiTheme="minorHAnsi" w:hAnsiTheme="minorHAnsi" w:cstheme="minorHAnsi"/>
          <w:sz w:val="22"/>
          <w:szCs w:val="22"/>
        </w:rPr>
        <w:t xml:space="preserve"> in consultation with the</w:t>
      </w:r>
      <w:r w:rsidR="006B4416" w:rsidRPr="00F72276">
        <w:rPr>
          <w:rFonts w:asciiTheme="minorHAnsi" w:hAnsiTheme="minorHAnsi" w:cstheme="minorHAnsi"/>
          <w:sz w:val="22"/>
          <w:szCs w:val="22"/>
        </w:rPr>
        <w:t xml:space="preserve"> </w:t>
      </w:r>
      <w:r w:rsidR="006B4416" w:rsidRPr="008D40ED">
        <w:rPr>
          <w:rFonts w:asciiTheme="minorHAnsi" w:hAnsiTheme="minorHAnsi" w:cstheme="minorHAnsi"/>
          <w:sz w:val="22"/>
          <w:szCs w:val="22"/>
        </w:rPr>
        <w:t>executive leadership</w:t>
      </w:r>
      <w:r w:rsidRPr="00F72276">
        <w:rPr>
          <w:rFonts w:asciiTheme="minorHAnsi" w:hAnsiTheme="minorHAnsi" w:cstheme="minorHAnsi"/>
          <w:sz w:val="22"/>
          <w:szCs w:val="22"/>
        </w:rPr>
        <w:t xml:space="preserve">. Council members may request to add items to the agenda for any meeting. The Co-Chairs of the Council will meet with CFA Institute staff as needed </w:t>
      </w:r>
      <w:proofErr w:type="gramStart"/>
      <w:r w:rsidRPr="00F72276">
        <w:rPr>
          <w:rFonts w:asciiTheme="minorHAnsi" w:hAnsiTheme="minorHAnsi" w:cstheme="minorHAnsi"/>
          <w:sz w:val="22"/>
          <w:szCs w:val="22"/>
        </w:rPr>
        <w:t>during the course of</w:t>
      </w:r>
      <w:proofErr w:type="gramEnd"/>
      <w:r w:rsidRPr="00F72276">
        <w:rPr>
          <w:rFonts w:asciiTheme="minorHAnsi" w:hAnsiTheme="minorHAnsi" w:cstheme="minorHAnsi"/>
          <w:sz w:val="22"/>
          <w:szCs w:val="22"/>
        </w:rPr>
        <w:t xml:space="preserve"> the year to discuss Council agendas. Special topics should be added as required.</w:t>
      </w:r>
    </w:p>
    <w:p w14:paraId="0B0D11D6" w14:textId="01386506" w:rsidR="00F11154" w:rsidRPr="00F72276" w:rsidRDefault="00F11154" w:rsidP="00B80F8D">
      <w:pPr>
        <w:pStyle w:val="BodyText"/>
        <w:spacing w:before="4" w:line="233" w:lineRule="auto"/>
        <w:rPr>
          <w:rFonts w:asciiTheme="minorHAnsi" w:hAnsiTheme="minorHAnsi" w:cstheme="minorHAnsi"/>
          <w:sz w:val="22"/>
          <w:szCs w:val="22"/>
        </w:rPr>
      </w:pPr>
    </w:p>
    <w:p w14:paraId="0F71EDBA" w14:textId="75FB348B" w:rsidR="00F11154" w:rsidRPr="00F72276" w:rsidRDefault="00A92B6E" w:rsidP="00B80F8D">
      <w:pPr>
        <w:pStyle w:val="BodyText"/>
        <w:spacing w:line="233" w:lineRule="auto"/>
        <w:ind w:right="114"/>
        <w:rPr>
          <w:rFonts w:asciiTheme="minorHAnsi" w:hAnsiTheme="minorHAnsi" w:cstheme="minorHAnsi"/>
          <w:sz w:val="22"/>
          <w:szCs w:val="22"/>
        </w:rPr>
      </w:pPr>
      <w:r w:rsidRPr="00F72276">
        <w:rPr>
          <w:rFonts w:asciiTheme="minorHAnsi" w:hAnsiTheme="minorHAnsi" w:cstheme="minorHAnsi"/>
          <w:sz w:val="22"/>
          <w:szCs w:val="22"/>
        </w:rPr>
        <w:lastRenderedPageBreak/>
        <w:t xml:space="preserve">The Council shall report to the Board at each regularly scheduled Board meeting and periodically, as applicable, on actions taken and significant matters reviewed by the Council. Meetings of the Council may be held in-person and/or via telephonic or electronic or video conference, and at such times and places as the Council determines. A majority of the members </w:t>
      </w:r>
      <w:r w:rsidR="001E4BF9" w:rsidRPr="00F72276">
        <w:rPr>
          <w:rFonts w:asciiTheme="minorHAnsi" w:hAnsiTheme="minorHAnsi" w:cstheme="minorHAnsi"/>
          <w:sz w:val="22"/>
          <w:szCs w:val="22"/>
        </w:rPr>
        <w:t xml:space="preserve">shall </w:t>
      </w:r>
      <w:r w:rsidR="00E5309C" w:rsidRPr="00F72276">
        <w:rPr>
          <w:rFonts w:asciiTheme="minorHAnsi" w:hAnsiTheme="minorHAnsi" w:cstheme="minorHAnsi"/>
          <w:sz w:val="22"/>
          <w:szCs w:val="22"/>
        </w:rPr>
        <w:t>constitute</w:t>
      </w:r>
      <w:r w:rsidRPr="00F72276">
        <w:rPr>
          <w:rFonts w:asciiTheme="minorHAnsi" w:hAnsiTheme="minorHAnsi" w:cstheme="minorHAnsi"/>
          <w:sz w:val="22"/>
          <w:szCs w:val="22"/>
        </w:rPr>
        <w:t xml:space="preserve"> a quorum. If a quorum is present, a majority of the members present shall decide any matter brought before the Council. The Co-Chairs may call a meeting of the Council upon due notice to all other members</w:t>
      </w:r>
      <w:r w:rsidR="001E4BF9" w:rsidRPr="00F72276">
        <w:rPr>
          <w:rFonts w:asciiTheme="minorHAnsi" w:hAnsiTheme="minorHAnsi" w:cstheme="minorHAnsi"/>
          <w:sz w:val="22"/>
          <w:szCs w:val="22"/>
        </w:rPr>
        <w:t xml:space="preserve"> at least one month prior to the meeting as standard practice and</w:t>
      </w:r>
      <w:r w:rsidRPr="00F72276">
        <w:rPr>
          <w:rFonts w:asciiTheme="minorHAnsi" w:hAnsiTheme="minorHAnsi" w:cstheme="minorHAnsi"/>
          <w:sz w:val="22"/>
          <w:szCs w:val="22"/>
        </w:rPr>
        <w:t xml:space="preserve"> at least 48 hours prior to the</w:t>
      </w:r>
      <w:r w:rsidRPr="00F72276">
        <w:rPr>
          <w:rFonts w:asciiTheme="minorHAnsi" w:hAnsiTheme="minorHAnsi" w:cstheme="minorHAnsi"/>
          <w:spacing w:val="-26"/>
          <w:sz w:val="22"/>
          <w:szCs w:val="22"/>
        </w:rPr>
        <w:t xml:space="preserve"> </w:t>
      </w:r>
      <w:r w:rsidRPr="00F72276">
        <w:rPr>
          <w:rFonts w:asciiTheme="minorHAnsi" w:hAnsiTheme="minorHAnsi" w:cstheme="minorHAnsi"/>
          <w:sz w:val="22"/>
          <w:szCs w:val="22"/>
        </w:rPr>
        <w:t>meeting</w:t>
      </w:r>
      <w:r w:rsidR="001E4BF9" w:rsidRPr="00F72276">
        <w:rPr>
          <w:rFonts w:asciiTheme="minorHAnsi" w:hAnsiTheme="minorHAnsi" w:cstheme="minorHAnsi"/>
          <w:sz w:val="22"/>
          <w:szCs w:val="22"/>
        </w:rPr>
        <w:t xml:space="preserve"> for more urgent matters</w:t>
      </w:r>
      <w:r w:rsidRPr="00F72276">
        <w:rPr>
          <w:rFonts w:asciiTheme="minorHAnsi" w:hAnsiTheme="minorHAnsi" w:cstheme="minorHAnsi"/>
          <w:sz w:val="22"/>
          <w:szCs w:val="22"/>
        </w:rPr>
        <w:t>.</w:t>
      </w:r>
    </w:p>
    <w:p w14:paraId="2A1D1C47" w14:textId="5BFAE334" w:rsidR="00F11154" w:rsidRPr="00F72276" w:rsidRDefault="00A92B6E" w:rsidP="00B80F8D">
      <w:pPr>
        <w:pStyle w:val="BodyText"/>
        <w:spacing w:line="233" w:lineRule="auto"/>
        <w:ind w:right="157"/>
        <w:rPr>
          <w:rFonts w:asciiTheme="minorHAnsi" w:hAnsiTheme="minorHAnsi" w:cstheme="minorHAnsi"/>
          <w:sz w:val="22"/>
          <w:szCs w:val="22"/>
        </w:rPr>
      </w:pPr>
      <w:r w:rsidRPr="00F72276">
        <w:rPr>
          <w:rFonts w:asciiTheme="minorHAnsi" w:hAnsiTheme="minorHAnsi" w:cstheme="minorHAnsi"/>
          <w:sz w:val="22"/>
          <w:szCs w:val="22"/>
        </w:rPr>
        <w:t xml:space="preserve">Notice by electronic mail shall be sufficient notice. The Council may also act by written consent signed by </w:t>
      </w:r>
      <w:proofErr w:type="gramStart"/>
      <w:r w:rsidRPr="00F72276">
        <w:rPr>
          <w:rFonts w:asciiTheme="minorHAnsi" w:hAnsiTheme="minorHAnsi" w:cstheme="minorHAnsi"/>
          <w:sz w:val="22"/>
          <w:szCs w:val="22"/>
        </w:rPr>
        <w:t>all of</w:t>
      </w:r>
      <w:proofErr w:type="gramEnd"/>
      <w:r w:rsidRPr="00F72276">
        <w:rPr>
          <w:rFonts w:asciiTheme="minorHAnsi" w:hAnsiTheme="minorHAnsi" w:cstheme="minorHAnsi"/>
          <w:sz w:val="22"/>
          <w:szCs w:val="22"/>
        </w:rPr>
        <w:t xml:space="preserve"> its members.</w:t>
      </w:r>
    </w:p>
    <w:p w14:paraId="42EB3A27" w14:textId="77777777" w:rsidR="006D2DB0" w:rsidRPr="00F72276" w:rsidRDefault="006D2DB0" w:rsidP="00B80F8D">
      <w:pPr>
        <w:pStyle w:val="BodyText"/>
        <w:spacing w:line="233" w:lineRule="auto"/>
        <w:ind w:right="157"/>
        <w:rPr>
          <w:rFonts w:asciiTheme="minorHAnsi" w:hAnsiTheme="minorHAnsi" w:cstheme="minorHAnsi"/>
          <w:sz w:val="22"/>
          <w:szCs w:val="22"/>
        </w:rPr>
      </w:pPr>
    </w:p>
    <w:p w14:paraId="60FC2672" w14:textId="77777777" w:rsidR="00F11154" w:rsidRPr="00F72276" w:rsidRDefault="00A92B6E" w:rsidP="00B80F8D">
      <w:pPr>
        <w:pStyle w:val="BodyText"/>
        <w:spacing w:line="233" w:lineRule="auto"/>
        <w:ind w:right="601"/>
        <w:rPr>
          <w:rFonts w:asciiTheme="minorHAnsi" w:hAnsiTheme="minorHAnsi" w:cstheme="minorHAnsi"/>
          <w:sz w:val="22"/>
          <w:szCs w:val="22"/>
        </w:rPr>
      </w:pPr>
      <w:r w:rsidRPr="00F72276">
        <w:rPr>
          <w:rFonts w:asciiTheme="minorHAnsi" w:hAnsiTheme="minorHAnsi" w:cstheme="minorHAnsi"/>
          <w:sz w:val="22"/>
          <w:szCs w:val="22"/>
        </w:rPr>
        <w:t>The Co-Chairs are expected to create and maintain a collaborative relationship that supports the management of the Council’s activities. Any matter which cannot be resolved shall be brought to the Board Chair for decision.</w:t>
      </w:r>
    </w:p>
    <w:p w14:paraId="10C57DC7" w14:textId="77777777" w:rsidR="00F11154" w:rsidRPr="00F72276" w:rsidRDefault="00F11154" w:rsidP="00B80F8D">
      <w:pPr>
        <w:pStyle w:val="BodyText"/>
        <w:spacing w:before="10" w:line="233" w:lineRule="auto"/>
        <w:rPr>
          <w:rFonts w:asciiTheme="minorHAnsi" w:hAnsiTheme="minorHAnsi" w:cstheme="minorHAnsi"/>
          <w:sz w:val="19"/>
        </w:rPr>
      </w:pPr>
    </w:p>
    <w:p w14:paraId="0376ED80" w14:textId="77777777" w:rsidR="00F11154" w:rsidRPr="00F72276" w:rsidRDefault="00A92B6E" w:rsidP="00B80F8D">
      <w:pPr>
        <w:pStyle w:val="Heading1"/>
        <w:spacing w:line="233" w:lineRule="auto"/>
        <w:ind w:left="0"/>
        <w:rPr>
          <w:rFonts w:asciiTheme="minorHAnsi" w:hAnsiTheme="minorHAnsi" w:cstheme="minorHAnsi"/>
          <w:sz w:val="32"/>
        </w:rPr>
      </w:pPr>
      <w:r w:rsidRPr="00F72276">
        <w:rPr>
          <w:rFonts w:asciiTheme="minorHAnsi" w:hAnsiTheme="minorHAnsi" w:cstheme="minorHAnsi"/>
          <w:color w:val="808080"/>
          <w:sz w:val="32"/>
        </w:rPr>
        <w:t>Duties and Responsibilities of the Members</w:t>
      </w:r>
    </w:p>
    <w:p w14:paraId="29FB57F9" w14:textId="77777777" w:rsidR="004C1AAF" w:rsidRPr="00F72276" w:rsidRDefault="004C1AAF" w:rsidP="00B80F8D">
      <w:pPr>
        <w:pStyle w:val="BodyText"/>
        <w:spacing w:line="233" w:lineRule="auto"/>
        <w:rPr>
          <w:rFonts w:asciiTheme="minorHAnsi" w:hAnsiTheme="minorHAnsi" w:cstheme="minorHAnsi"/>
          <w:sz w:val="10"/>
          <w:szCs w:val="10"/>
        </w:rPr>
      </w:pPr>
    </w:p>
    <w:p w14:paraId="6F463693" w14:textId="77777777" w:rsidR="00837E9D" w:rsidRPr="008D40ED" w:rsidRDefault="00837E9D" w:rsidP="00837E9D">
      <w:pPr>
        <w:pStyle w:val="BodyText"/>
        <w:spacing w:line="233" w:lineRule="auto"/>
        <w:rPr>
          <w:rFonts w:asciiTheme="minorHAnsi" w:hAnsiTheme="minorHAnsi" w:cstheme="minorHAnsi"/>
          <w:sz w:val="22"/>
          <w:szCs w:val="22"/>
        </w:rPr>
      </w:pPr>
      <w:r w:rsidRPr="008D40ED">
        <w:rPr>
          <w:rFonts w:asciiTheme="minorHAnsi" w:hAnsiTheme="minorHAnsi" w:cstheme="minorHAnsi"/>
          <w:sz w:val="22"/>
          <w:szCs w:val="22"/>
        </w:rPr>
        <w:t xml:space="preserve">Each member is expected to: </w:t>
      </w:r>
    </w:p>
    <w:p w14:paraId="73A88562" w14:textId="77777777" w:rsidR="00837E9D" w:rsidRPr="008D40ED" w:rsidRDefault="00837E9D" w:rsidP="00837E9D">
      <w:pPr>
        <w:pStyle w:val="BodyText"/>
        <w:spacing w:line="233" w:lineRule="auto"/>
        <w:rPr>
          <w:rFonts w:asciiTheme="minorHAnsi" w:hAnsiTheme="minorHAnsi" w:cstheme="minorHAnsi"/>
          <w:sz w:val="22"/>
          <w:szCs w:val="22"/>
        </w:rPr>
      </w:pPr>
    </w:p>
    <w:p w14:paraId="2311F4AB" w14:textId="77777777" w:rsidR="00837E9D" w:rsidRPr="008D40ED" w:rsidRDefault="00837E9D" w:rsidP="00837E9D">
      <w:pPr>
        <w:pStyle w:val="BodyText"/>
        <w:tabs>
          <w:tab w:val="left" w:pos="630"/>
        </w:tabs>
        <w:spacing w:line="233" w:lineRule="auto"/>
        <w:ind w:left="720" w:hanging="360"/>
        <w:rPr>
          <w:rFonts w:asciiTheme="minorHAnsi" w:hAnsiTheme="minorHAnsi" w:cstheme="minorHAnsi"/>
          <w:sz w:val="22"/>
          <w:szCs w:val="22"/>
        </w:rPr>
      </w:pPr>
      <w:r w:rsidRPr="008D40ED">
        <w:rPr>
          <w:rFonts w:asciiTheme="minorHAnsi" w:hAnsiTheme="minorHAnsi" w:cstheme="minorHAnsi"/>
          <w:sz w:val="22"/>
          <w:szCs w:val="22"/>
        </w:rPr>
        <w:t>•</w:t>
      </w:r>
      <w:r w:rsidRPr="008D40ED">
        <w:rPr>
          <w:rFonts w:asciiTheme="minorHAnsi" w:hAnsiTheme="minorHAnsi" w:cstheme="minorHAnsi"/>
          <w:sz w:val="22"/>
          <w:szCs w:val="22"/>
        </w:rPr>
        <w:tab/>
        <w:t xml:space="preserve">Contribute informed and objective perspectives to Council discussions. </w:t>
      </w:r>
    </w:p>
    <w:p w14:paraId="02E4058A" w14:textId="77777777" w:rsidR="00837E9D" w:rsidRPr="008D40ED" w:rsidRDefault="00837E9D" w:rsidP="00837E9D">
      <w:pPr>
        <w:pStyle w:val="BodyText"/>
        <w:tabs>
          <w:tab w:val="left" w:pos="630"/>
        </w:tabs>
        <w:spacing w:line="233" w:lineRule="auto"/>
        <w:ind w:left="720" w:hanging="360"/>
        <w:rPr>
          <w:rFonts w:asciiTheme="minorHAnsi" w:hAnsiTheme="minorHAnsi" w:cstheme="minorHAnsi"/>
          <w:sz w:val="22"/>
          <w:szCs w:val="22"/>
        </w:rPr>
      </w:pPr>
      <w:r w:rsidRPr="008D40ED">
        <w:rPr>
          <w:rFonts w:asciiTheme="minorHAnsi" w:hAnsiTheme="minorHAnsi" w:cstheme="minorHAnsi"/>
          <w:sz w:val="22"/>
          <w:szCs w:val="22"/>
        </w:rPr>
        <w:t>•</w:t>
      </w:r>
      <w:r w:rsidRPr="008D40ED">
        <w:rPr>
          <w:rFonts w:asciiTheme="minorHAnsi" w:hAnsiTheme="minorHAnsi" w:cstheme="minorHAnsi"/>
          <w:sz w:val="22"/>
          <w:szCs w:val="22"/>
        </w:rPr>
        <w:tab/>
        <w:t xml:space="preserve">Engage fully in Council deliberations, prioritizing the interests of the CFA Institute, its mission and members. </w:t>
      </w:r>
    </w:p>
    <w:p w14:paraId="36F82D7F" w14:textId="7A116D0D" w:rsidR="00837E9D" w:rsidRPr="008D40ED" w:rsidRDefault="00837E9D" w:rsidP="00837E9D">
      <w:pPr>
        <w:pStyle w:val="BodyText"/>
        <w:tabs>
          <w:tab w:val="left" w:pos="630"/>
        </w:tabs>
        <w:spacing w:line="233" w:lineRule="auto"/>
        <w:ind w:left="720" w:hanging="360"/>
        <w:rPr>
          <w:rFonts w:asciiTheme="minorHAnsi" w:hAnsiTheme="minorHAnsi" w:cstheme="minorHAnsi"/>
          <w:sz w:val="22"/>
          <w:szCs w:val="22"/>
        </w:rPr>
      </w:pPr>
      <w:r w:rsidRPr="008D40ED">
        <w:rPr>
          <w:rFonts w:asciiTheme="minorHAnsi" w:hAnsiTheme="minorHAnsi" w:cstheme="minorHAnsi"/>
          <w:sz w:val="22"/>
          <w:szCs w:val="22"/>
        </w:rPr>
        <w:t>•</w:t>
      </w:r>
      <w:r w:rsidRPr="008D40ED">
        <w:rPr>
          <w:rFonts w:asciiTheme="minorHAnsi" w:hAnsiTheme="minorHAnsi" w:cstheme="minorHAnsi"/>
          <w:sz w:val="22"/>
          <w:szCs w:val="22"/>
        </w:rPr>
        <w:tab/>
        <w:t>Report Council consensus views to their respective groups or stakeholders.</w:t>
      </w:r>
    </w:p>
    <w:p w14:paraId="49D612DF" w14:textId="77777777" w:rsidR="00F11154" w:rsidRPr="00F72276" w:rsidRDefault="00F11154" w:rsidP="00B80F8D">
      <w:pPr>
        <w:pStyle w:val="BodyText"/>
        <w:spacing w:line="233" w:lineRule="auto"/>
        <w:rPr>
          <w:rFonts w:asciiTheme="minorHAnsi" w:hAnsiTheme="minorHAnsi" w:cstheme="minorHAnsi"/>
          <w:sz w:val="22"/>
        </w:rPr>
      </w:pPr>
    </w:p>
    <w:p w14:paraId="349EE3C2" w14:textId="07D0A00D" w:rsidR="00F11154" w:rsidRPr="00F72276" w:rsidRDefault="00A92B6E" w:rsidP="00B80F8D">
      <w:pPr>
        <w:pStyle w:val="Heading1"/>
        <w:spacing w:line="233" w:lineRule="auto"/>
        <w:ind w:left="0"/>
        <w:rPr>
          <w:rFonts w:asciiTheme="minorHAnsi" w:hAnsiTheme="minorHAnsi" w:cstheme="minorHAnsi"/>
          <w:sz w:val="32"/>
        </w:rPr>
      </w:pPr>
      <w:r w:rsidRPr="00F72276">
        <w:rPr>
          <w:rFonts w:asciiTheme="minorHAnsi" w:hAnsiTheme="minorHAnsi" w:cstheme="minorHAnsi"/>
          <w:color w:val="808080"/>
          <w:sz w:val="32"/>
        </w:rPr>
        <w:t>Duties and Responsibilities of the Council</w:t>
      </w:r>
      <w:r w:rsidR="006F4427" w:rsidRPr="00F72276">
        <w:rPr>
          <w:rFonts w:asciiTheme="minorHAnsi" w:hAnsiTheme="minorHAnsi" w:cstheme="minorHAnsi"/>
          <w:color w:val="808080"/>
          <w:sz w:val="32"/>
        </w:rPr>
        <w:t xml:space="preserve"> and Decision Rights</w:t>
      </w:r>
    </w:p>
    <w:p w14:paraId="12626355" w14:textId="77777777" w:rsidR="004C1AAF" w:rsidRPr="00F72276" w:rsidRDefault="004C1AAF" w:rsidP="00B80F8D">
      <w:pPr>
        <w:pStyle w:val="BodyText"/>
        <w:spacing w:before="31" w:line="233" w:lineRule="auto"/>
        <w:ind w:right="423"/>
        <w:rPr>
          <w:rFonts w:asciiTheme="minorHAnsi" w:hAnsiTheme="minorHAnsi" w:cstheme="minorHAnsi"/>
          <w:sz w:val="10"/>
          <w:szCs w:val="10"/>
        </w:rPr>
      </w:pPr>
    </w:p>
    <w:p w14:paraId="4E945D2C" w14:textId="7DF09A75" w:rsidR="00F11154" w:rsidRPr="00F72276" w:rsidRDefault="00A92B6E" w:rsidP="00B80F8D">
      <w:pPr>
        <w:pStyle w:val="BodyText"/>
        <w:spacing w:before="31" w:line="233" w:lineRule="auto"/>
        <w:ind w:right="423"/>
        <w:rPr>
          <w:rFonts w:asciiTheme="minorHAnsi" w:hAnsiTheme="minorHAnsi" w:cstheme="minorHAnsi"/>
        </w:rPr>
      </w:pPr>
      <w:r w:rsidRPr="00F72276">
        <w:rPr>
          <w:rFonts w:asciiTheme="minorHAnsi" w:hAnsiTheme="minorHAnsi" w:cstheme="minorHAnsi"/>
          <w:sz w:val="22"/>
        </w:rPr>
        <w:t>In addition to carrying out any other responsibilities delegated to the Council by the Board, the Council shall:</w:t>
      </w:r>
    </w:p>
    <w:p w14:paraId="6354309A" w14:textId="1157A0FC" w:rsidR="004C1AAF" w:rsidRPr="00F72276" w:rsidRDefault="004C1AAF" w:rsidP="00B80F8D">
      <w:pPr>
        <w:pStyle w:val="BodyText"/>
        <w:spacing w:line="233" w:lineRule="auto"/>
        <w:rPr>
          <w:rFonts w:asciiTheme="minorHAnsi" w:hAnsiTheme="minorHAnsi" w:cstheme="minorHAnsi"/>
          <w:sz w:val="22"/>
          <w:szCs w:val="22"/>
        </w:rPr>
      </w:pPr>
    </w:p>
    <w:p w14:paraId="4B77CE52" w14:textId="392BC2DE" w:rsidR="00DF2112" w:rsidRPr="00F72276" w:rsidRDefault="00DF2112" w:rsidP="00B80F8D">
      <w:pPr>
        <w:pStyle w:val="Heading1"/>
        <w:spacing w:before="34" w:line="233" w:lineRule="auto"/>
        <w:ind w:left="0"/>
        <w:rPr>
          <w:rFonts w:asciiTheme="minorHAnsi" w:hAnsiTheme="minorHAnsi" w:cstheme="minorHAnsi"/>
          <w:color w:val="818181"/>
        </w:rPr>
      </w:pPr>
      <w:r w:rsidRPr="00F72276">
        <w:rPr>
          <w:rFonts w:asciiTheme="minorHAnsi" w:hAnsiTheme="minorHAnsi" w:cstheme="minorHAnsi"/>
          <w:color w:val="818181"/>
        </w:rPr>
        <w:t>Society Matters</w:t>
      </w:r>
    </w:p>
    <w:p w14:paraId="425429A8" w14:textId="77777777" w:rsidR="004C1AAF" w:rsidRPr="00F72276" w:rsidRDefault="004C1AAF" w:rsidP="00E5309C">
      <w:pPr>
        <w:pStyle w:val="BodyText"/>
        <w:rPr>
          <w:rFonts w:asciiTheme="minorHAnsi" w:hAnsiTheme="minorHAnsi" w:cstheme="minorHAnsi"/>
          <w:sz w:val="22"/>
          <w:szCs w:val="22"/>
        </w:rPr>
      </w:pPr>
    </w:p>
    <w:tbl>
      <w:tblPr>
        <w:tblStyle w:val="TableGrid"/>
        <w:tblW w:w="10975"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6094"/>
        <w:gridCol w:w="1463"/>
        <w:gridCol w:w="3418"/>
      </w:tblGrid>
      <w:tr w:rsidR="008D40ED" w:rsidRPr="00F72276" w14:paraId="188C0DDD" w14:textId="77777777" w:rsidTr="008D40ED">
        <w:trPr>
          <w:trHeight w:hRule="exact" w:val="635"/>
        </w:trPr>
        <w:tc>
          <w:tcPr>
            <w:tcW w:w="6094" w:type="dxa"/>
            <w:shd w:val="clear" w:color="auto" w:fill="5B77CC"/>
            <w:vAlign w:val="center"/>
          </w:tcPr>
          <w:p w14:paraId="4B67BF5D" w14:textId="77777777" w:rsidR="008D40ED" w:rsidRPr="00F72276" w:rsidRDefault="008D40ED" w:rsidP="004C1AAF">
            <w:pPr>
              <w:tabs>
                <w:tab w:val="left" w:pos="820"/>
                <w:tab w:val="left" w:pos="821"/>
              </w:tabs>
              <w:rPr>
                <w:rFonts w:ascii="Calibri" w:hAnsi="Calibri" w:cs="Calibri"/>
                <w:b/>
                <w:color w:val="FFFFFF" w:themeColor="background1"/>
                <w:sz w:val="24"/>
              </w:rPr>
            </w:pPr>
            <w:r w:rsidRPr="00F72276">
              <w:rPr>
                <w:rFonts w:ascii="Calibri" w:hAnsi="Calibri" w:cs="Calibri"/>
                <w:b/>
                <w:color w:val="FFFFFF" w:themeColor="background1"/>
                <w:sz w:val="24"/>
              </w:rPr>
              <w:t>Action</w:t>
            </w:r>
          </w:p>
        </w:tc>
        <w:tc>
          <w:tcPr>
            <w:tcW w:w="1463" w:type="dxa"/>
            <w:shd w:val="clear" w:color="auto" w:fill="5B77CC"/>
            <w:vAlign w:val="center"/>
          </w:tcPr>
          <w:p w14:paraId="6EC89E81" w14:textId="27B5599C" w:rsidR="008D40ED" w:rsidRPr="00F72276" w:rsidRDefault="008D40ED" w:rsidP="004C1AAF">
            <w:pPr>
              <w:pStyle w:val="Heading2"/>
              <w:spacing w:before="0"/>
              <w:jc w:val="center"/>
              <w:rPr>
                <w:rFonts w:ascii="Calibri" w:hAnsi="Calibri" w:cs="Calibri"/>
                <w:b/>
                <w:color w:val="FF0000"/>
                <w:sz w:val="24"/>
              </w:rPr>
            </w:pPr>
            <w:r w:rsidRPr="008D40ED">
              <w:rPr>
                <w:rFonts w:ascii="Calibri" w:hAnsi="Calibri" w:cs="Calibri"/>
                <w:b/>
                <w:color w:val="FFFFFF" w:themeColor="background1"/>
                <w:sz w:val="24"/>
              </w:rPr>
              <w:t>Review</w:t>
            </w:r>
          </w:p>
        </w:tc>
        <w:tc>
          <w:tcPr>
            <w:tcW w:w="3418" w:type="dxa"/>
            <w:shd w:val="clear" w:color="auto" w:fill="5B77CC"/>
            <w:vAlign w:val="center"/>
          </w:tcPr>
          <w:p w14:paraId="3D726DAC" w14:textId="20592801" w:rsidR="008D40ED" w:rsidRPr="008D40ED" w:rsidRDefault="008D40ED" w:rsidP="008D40ED">
            <w:pPr>
              <w:pStyle w:val="Heading2"/>
              <w:spacing w:before="0"/>
              <w:jc w:val="center"/>
              <w:rPr>
                <w:rFonts w:ascii="Calibri" w:hAnsi="Calibri" w:cs="Calibri"/>
                <w:color w:val="FFFFFF" w:themeColor="background1"/>
                <w:sz w:val="24"/>
              </w:rPr>
            </w:pPr>
            <w:r w:rsidRPr="00F72276">
              <w:rPr>
                <w:rFonts w:ascii="Calibri" w:hAnsi="Calibri" w:cs="Calibri"/>
                <w:b/>
                <w:color w:val="FFFFFF" w:themeColor="background1"/>
                <w:sz w:val="24"/>
              </w:rPr>
              <w:t xml:space="preserve">Decision </w:t>
            </w:r>
          </w:p>
        </w:tc>
      </w:tr>
      <w:tr w:rsidR="008D40ED" w:rsidRPr="00F72276" w14:paraId="58C2B3B3" w14:textId="77777777" w:rsidTr="008D40ED">
        <w:trPr>
          <w:trHeight w:val="1164"/>
        </w:trPr>
        <w:tc>
          <w:tcPr>
            <w:tcW w:w="6094" w:type="dxa"/>
            <w:vAlign w:val="center"/>
          </w:tcPr>
          <w:p w14:paraId="27360313" w14:textId="3BFA8471" w:rsidR="008D40ED" w:rsidRPr="008D40ED" w:rsidRDefault="008D40ED" w:rsidP="004C1AAF">
            <w:pPr>
              <w:tabs>
                <w:tab w:val="left" w:pos="820"/>
                <w:tab w:val="left" w:pos="821"/>
              </w:tabs>
              <w:rPr>
                <w:rFonts w:asciiTheme="minorHAnsi" w:hAnsiTheme="minorHAnsi" w:cstheme="minorHAnsi"/>
              </w:rPr>
            </w:pPr>
            <w:r w:rsidRPr="008D40ED">
              <w:rPr>
                <w:rFonts w:asciiTheme="minorHAnsi" w:hAnsiTheme="minorHAnsi" w:cstheme="minorHAnsi"/>
              </w:rPr>
              <w:t>Monitor and provide guidance on projects impacting CFA Society strategy and support, including but not limited to CFA Society resource allocation; CFA Society formation process; CFA Society external engagement levels, effectiveness, and trends; and initiatives designed to enhance CFA Societies’ ability to provide member</w:t>
            </w:r>
            <w:r w:rsidRPr="008D40ED">
              <w:rPr>
                <w:rFonts w:asciiTheme="minorHAnsi" w:hAnsiTheme="minorHAnsi" w:cstheme="minorHAnsi"/>
                <w:spacing w:val="-4"/>
              </w:rPr>
              <w:t xml:space="preserve"> </w:t>
            </w:r>
            <w:r w:rsidRPr="008D40ED">
              <w:rPr>
                <w:rFonts w:asciiTheme="minorHAnsi" w:hAnsiTheme="minorHAnsi" w:cstheme="minorHAnsi"/>
              </w:rPr>
              <w:t>value.</w:t>
            </w:r>
          </w:p>
        </w:tc>
        <w:tc>
          <w:tcPr>
            <w:tcW w:w="1463" w:type="dxa"/>
            <w:vAlign w:val="center"/>
          </w:tcPr>
          <w:p w14:paraId="3A9C63AF" w14:textId="733B7176"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418" w:type="dxa"/>
            <w:vAlign w:val="center"/>
          </w:tcPr>
          <w:p w14:paraId="5E20A8FF" w14:textId="130ACF20"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Board of Governors</w:t>
            </w:r>
          </w:p>
        </w:tc>
      </w:tr>
      <w:tr w:rsidR="008D40ED" w:rsidRPr="00F72276" w14:paraId="75C5DD99" w14:textId="77777777" w:rsidTr="008D40ED">
        <w:trPr>
          <w:trHeight w:val="652"/>
        </w:trPr>
        <w:tc>
          <w:tcPr>
            <w:tcW w:w="6094" w:type="dxa"/>
            <w:shd w:val="clear" w:color="auto" w:fill="F2F2F2" w:themeFill="background1" w:themeFillShade="F2"/>
            <w:vAlign w:val="center"/>
          </w:tcPr>
          <w:p w14:paraId="5C74EBA8" w14:textId="0D1FA5E6" w:rsidR="008D40ED" w:rsidRPr="008D40ED" w:rsidRDefault="008D40ED" w:rsidP="004C1AAF">
            <w:pPr>
              <w:tabs>
                <w:tab w:val="left" w:pos="821"/>
                <w:tab w:val="left" w:pos="822"/>
              </w:tabs>
              <w:rPr>
                <w:rFonts w:asciiTheme="minorHAnsi" w:hAnsiTheme="minorHAnsi" w:cstheme="minorHAnsi"/>
              </w:rPr>
            </w:pPr>
            <w:r w:rsidRPr="008D40ED">
              <w:rPr>
                <w:rFonts w:asciiTheme="minorHAnsi" w:hAnsiTheme="minorHAnsi" w:cstheme="minorHAnsi"/>
              </w:rPr>
              <w:t>Review and provide feedback on the status and effectiveness of internal engagement with</w:t>
            </w:r>
            <w:r w:rsidRPr="008D40ED">
              <w:rPr>
                <w:rFonts w:asciiTheme="minorHAnsi" w:hAnsiTheme="minorHAnsi" w:cstheme="minorHAnsi"/>
                <w:spacing w:val="-27"/>
              </w:rPr>
              <w:t xml:space="preserve"> </w:t>
            </w:r>
            <w:r w:rsidRPr="008D40ED">
              <w:rPr>
                <w:rFonts w:asciiTheme="minorHAnsi" w:hAnsiTheme="minorHAnsi" w:cstheme="minorHAnsi"/>
              </w:rPr>
              <w:t xml:space="preserve">CFA Societies, leveraging PCRs to represent perspectives of their respective regions and the network at large. </w:t>
            </w:r>
          </w:p>
        </w:tc>
        <w:tc>
          <w:tcPr>
            <w:tcW w:w="1463" w:type="dxa"/>
            <w:shd w:val="clear" w:color="auto" w:fill="F2F2F2" w:themeFill="background1" w:themeFillShade="F2"/>
            <w:vAlign w:val="center"/>
          </w:tcPr>
          <w:p w14:paraId="1C717123" w14:textId="5A169E0F"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418" w:type="dxa"/>
            <w:shd w:val="clear" w:color="auto" w:fill="F2F2F2" w:themeFill="background1" w:themeFillShade="F2"/>
            <w:vAlign w:val="center"/>
          </w:tcPr>
          <w:p w14:paraId="0C818232" w14:textId="20B8C330"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Board of Governors</w:t>
            </w:r>
          </w:p>
        </w:tc>
      </w:tr>
      <w:tr w:rsidR="008D40ED" w:rsidRPr="00F72276" w14:paraId="1C846A19" w14:textId="77777777" w:rsidTr="008D40ED">
        <w:trPr>
          <w:trHeight w:val="652"/>
        </w:trPr>
        <w:tc>
          <w:tcPr>
            <w:tcW w:w="6094" w:type="dxa"/>
            <w:shd w:val="clear" w:color="auto" w:fill="F2F2F2" w:themeFill="background1" w:themeFillShade="F2"/>
            <w:vAlign w:val="center"/>
          </w:tcPr>
          <w:p w14:paraId="3913386C" w14:textId="43A3B124" w:rsidR="008D40ED" w:rsidRPr="008D40ED" w:rsidRDefault="008D40ED" w:rsidP="004C1AAF">
            <w:pPr>
              <w:tabs>
                <w:tab w:val="left" w:pos="821"/>
                <w:tab w:val="left" w:pos="822"/>
              </w:tabs>
              <w:rPr>
                <w:rFonts w:asciiTheme="minorHAnsi" w:hAnsiTheme="minorHAnsi" w:cstheme="minorHAnsi"/>
              </w:rPr>
            </w:pPr>
            <w:r w:rsidRPr="008D40ED">
              <w:rPr>
                <w:rFonts w:asciiTheme="minorHAnsi" w:hAnsiTheme="minorHAnsi" w:cstheme="minorHAnsi"/>
              </w:rPr>
              <w:t xml:space="preserve">Evaluate </w:t>
            </w:r>
            <w:proofErr w:type="gramStart"/>
            <w:r w:rsidRPr="008D40ED">
              <w:rPr>
                <w:rFonts w:asciiTheme="minorHAnsi" w:hAnsiTheme="minorHAnsi" w:cstheme="minorHAnsi"/>
              </w:rPr>
              <w:t>society</w:t>
            </w:r>
            <w:proofErr w:type="gramEnd"/>
            <w:r w:rsidRPr="008D40ED">
              <w:rPr>
                <w:rFonts w:asciiTheme="minorHAnsi" w:hAnsiTheme="minorHAnsi" w:cstheme="minorHAnsi"/>
              </w:rPr>
              <w:t xml:space="preserve"> feedback alongside management recommendations to ensure balanced and comprehensive advisement.</w:t>
            </w:r>
          </w:p>
        </w:tc>
        <w:tc>
          <w:tcPr>
            <w:tcW w:w="1463" w:type="dxa"/>
            <w:shd w:val="clear" w:color="auto" w:fill="F2F2F2" w:themeFill="background1" w:themeFillShade="F2"/>
            <w:vAlign w:val="center"/>
          </w:tcPr>
          <w:p w14:paraId="039B7795" w14:textId="09B135BE"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418" w:type="dxa"/>
            <w:shd w:val="clear" w:color="auto" w:fill="F2F2F2" w:themeFill="background1" w:themeFillShade="F2"/>
            <w:vAlign w:val="center"/>
          </w:tcPr>
          <w:p w14:paraId="316851CA" w14:textId="49491080"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Board of Governors</w:t>
            </w:r>
          </w:p>
        </w:tc>
      </w:tr>
      <w:tr w:rsidR="008D40ED" w:rsidRPr="00F72276" w14:paraId="68A388AC" w14:textId="77777777" w:rsidTr="008D40ED">
        <w:trPr>
          <w:trHeight w:val="652"/>
        </w:trPr>
        <w:tc>
          <w:tcPr>
            <w:tcW w:w="6094" w:type="dxa"/>
            <w:shd w:val="clear" w:color="auto" w:fill="FFFFFF" w:themeFill="background1"/>
            <w:vAlign w:val="center"/>
          </w:tcPr>
          <w:p w14:paraId="7D248263" w14:textId="77777777" w:rsidR="008D40ED" w:rsidRPr="008D40ED" w:rsidRDefault="008D40ED" w:rsidP="008D0A73">
            <w:pPr>
              <w:tabs>
                <w:tab w:val="left" w:pos="820"/>
                <w:tab w:val="left" w:pos="821"/>
              </w:tabs>
              <w:rPr>
                <w:rFonts w:asciiTheme="minorHAnsi" w:hAnsiTheme="minorHAnsi" w:cstheme="minorHAnsi"/>
              </w:rPr>
            </w:pPr>
            <w:r w:rsidRPr="008D40ED">
              <w:rPr>
                <w:rFonts w:asciiTheme="minorHAnsi" w:hAnsiTheme="minorHAnsi" w:cstheme="minorHAnsi"/>
              </w:rPr>
              <w:t>Engage with the Risk Committee on issues involving significant risks to or from the society network. </w:t>
            </w:r>
          </w:p>
          <w:p w14:paraId="58FDECD2" w14:textId="77777777" w:rsidR="008D40ED" w:rsidRPr="008D40ED" w:rsidRDefault="008D40ED" w:rsidP="004C1AAF">
            <w:pPr>
              <w:tabs>
                <w:tab w:val="left" w:pos="820"/>
                <w:tab w:val="left" w:pos="821"/>
              </w:tabs>
              <w:rPr>
                <w:rFonts w:asciiTheme="minorHAnsi" w:hAnsiTheme="minorHAnsi" w:cstheme="minorHAnsi"/>
              </w:rPr>
            </w:pPr>
          </w:p>
        </w:tc>
        <w:tc>
          <w:tcPr>
            <w:tcW w:w="1463" w:type="dxa"/>
            <w:shd w:val="clear" w:color="auto" w:fill="FFFFFF" w:themeFill="background1"/>
            <w:vAlign w:val="center"/>
          </w:tcPr>
          <w:p w14:paraId="7C6AF5F8" w14:textId="7D5BA853"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418" w:type="dxa"/>
            <w:shd w:val="clear" w:color="auto" w:fill="FFFFFF" w:themeFill="background1"/>
            <w:vAlign w:val="center"/>
          </w:tcPr>
          <w:p w14:paraId="20732A4E" w14:textId="720672B1"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Risk Committee</w:t>
            </w:r>
          </w:p>
        </w:tc>
      </w:tr>
      <w:tr w:rsidR="008D40ED" w:rsidRPr="00F72276" w14:paraId="2361DF4E" w14:textId="77777777" w:rsidTr="008D40ED">
        <w:trPr>
          <w:trHeight w:val="519"/>
        </w:trPr>
        <w:tc>
          <w:tcPr>
            <w:tcW w:w="6094" w:type="dxa"/>
            <w:shd w:val="clear" w:color="auto" w:fill="F2F2F2" w:themeFill="background1" w:themeFillShade="F2"/>
            <w:vAlign w:val="center"/>
          </w:tcPr>
          <w:p w14:paraId="15533D5B" w14:textId="5D378785" w:rsidR="008D40ED" w:rsidRPr="008D40ED" w:rsidRDefault="008D40ED" w:rsidP="004C1AAF">
            <w:pPr>
              <w:tabs>
                <w:tab w:val="left" w:pos="820"/>
                <w:tab w:val="left" w:pos="821"/>
              </w:tabs>
              <w:rPr>
                <w:rFonts w:asciiTheme="minorHAnsi" w:hAnsiTheme="minorHAnsi" w:cstheme="minorHAnsi"/>
              </w:rPr>
            </w:pPr>
            <w:r w:rsidRPr="008D40ED">
              <w:rPr>
                <w:rFonts w:asciiTheme="minorHAnsi" w:hAnsiTheme="minorHAnsi" w:cstheme="minorHAnsi"/>
              </w:rPr>
              <w:t xml:space="preserve">Oversee the formation and governance of society consultative councils. </w:t>
            </w:r>
          </w:p>
        </w:tc>
        <w:tc>
          <w:tcPr>
            <w:tcW w:w="1463" w:type="dxa"/>
            <w:shd w:val="clear" w:color="auto" w:fill="F2F2F2" w:themeFill="background1" w:themeFillShade="F2"/>
            <w:vAlign w:val="center"/>
          </w:tcPr>
          <w:p w14:paraId="60ADD140" w14:textId="202E4333"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418" w:type="dxa"/>
            <w:shd w:val="clear" w:color="auto" w:fill="F2F2F2" w:themeFill="background1" w:themeFillShade="F2"/>
            <w:vAlign w:val="center"/>
          </w:tcPr>
          <w:p w14:paraId="3565908B" w14:textId="78356322" w:rsidR="008D40ED" w:rsidRPr="008D40ED" w:rsidRDefault="008D40ED" w:rsidP="004C1AAF">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Governance Committee</w:t>
            </w:r>
          </w:p>
        </w:tc>
      </w:tr>
    </w:tbl>
    <w:p w14:paraId="492E3EA0" w14:textId="77777777" w:rsidR="00DF2112" w:rsidRPr="00F72276" w:rsidRDefault="00DF2112" w:rsidP="004C1AAF">
      <w:pPr>
        <w:pStyle w:val="Heading1"/>
        <w:spacing w:before="34" w:line="230" w:lineRule="auto"/>
        <w:ind w:left="0"/>
        <w:rPr>
          <w:rFonts w:asciiTheme="minorHAnsi" w:hAnsiTheme="minorHAnsi" w:cstheme="minorHAnsi"/>
          <w:color w:val="818181"/>
          <w:sz w:val="22"/>
        </w:rPr>
      </w:pPr>
    </w:p>
    <w:p w14:paraId="77BA9406" w14:textId="25BC7055" w:rsidR="004C1AAF" w:rsidRPr="00F72276" w:rsidRDefault="004C1AAF" w:rsidP="004C1AAF">
      <w:pPr>
        <w:pStyle w:val="Heading1"/>
        <w:spacing w:before="34" w:line="230" w:lineRule="auto"/>
        <w:ind w:left="0"/>
        <w:rPr>
          <w:rFonts w:asciiTheme="minorHAnsi" w:hAnsiTheme="minorHAnsi" w:cstheme="minorHAnsi"/>
          <w:color w:val="818181"/>
        </w:rPr>
      </w:pPr>
      <w:r w:rsidRPr="00F72276">
        <w:rPr>
          <w:rFonts w:asciiTheme="minorHAnsi" w:hAnsiTheme="minorHAnsi" w:cstheme="minorHAnsi"/>
          <w:color w:val="818181"/>
        </w:rPr>
        <w:t>Working Groups and Reporting</w:t>
      </w:r>
    </w:p>
    <w:p w14:paraId="7C363128" w14:textId="7F9FC5FE" w:rsidR="004C1AAF" w:rsidRPr="00F72276" w:rsidRDefault="004C1AAF" w:rsidP="006D2DB0">
      <w:pPr>
        <w:pStyle w:val="Heading1"/>
        <w:spacing w:before="34" w:line="230" w:lineRule="auto"/>
        <w:ind w:left="0"/>
        <w:rPr>
          <w:rFonts w:asciiTheme="minorHAnsi" w:hAnsiTheme="minorHAnsi" w:cstheme="minorHAnsi"/>
          <w:b w:val="0"/>
          <w:bCs w:val="0"/>
          <w:sz w:val="22"/>
        </w:rPr>
      </w:pPr>
    </w:p>
    <w:p w14:paraId="2ABE537C" w14:textId="67C8761C" w:rsidR="00574F58" w:rsidRPr="008D40ED" w:rsidRDefault="00574F58" w:rsidP="006D2DB0">
      <w:pPr>
        <w:pStyle w:val="Heading1"/>
        <w:spacing w:before="34" w:line="230" w:lineRule="auto"/>
        <w:ind w:left="0"/>
        <w:rPr>
          <w:rFonts w:asciiTheme="minorHAnsi" w:hAnsiTheme="minorHAnsi" w:cstheme="minorHAnsi"/>
          <w:b w:val="0"/>
          <w:bCs w:val="0"/>
          <w:sz w:val="22"/>
        </w:rPr>
      </w:pPr>
      <w:r w:rsidRPr="008D40ED">
        <w:rPr>
          <w:rFonts w:asciiTheme="minorHAnsi" w:hAnsiTheme="minorHAnsi" w:cstheme="minorHAnsi"/>
          <w:b w:val="0"/>
          <w:bCs w:val="0"/>
          <w:sz w:val="22"/>
        </w:rPr>
        <w:t xml:space="preserve">The SPSC Report regularly to the Board on Council findings and recommendations and maintain minutes or other records of Council meetings and activities. The SPSC is responsible to the Board for its activities. </w:t>
      </w:r>
    </w:p>
    <w:p w14:paraId="1ED7E052" w14:textId="77777777" w:rsidR="00574F58" w:rsidRPr="00F72276" w:rsidRDefault="00574F58" w:rsidP="006D2DB0">
      <w:pPr>
        <w:pStyle w:val="Heading1"/>
        <w:spacing w:before="34" w:line="230" w:lineRule="auto"/>
        <w:ind w:left="0"/>
        <w:rPr>
          <w:rFonts w:asciiTheme="minorHAnsi" w:hAnsiTheme="minorHAnsi" w:cstheme="minorHAnsi"/>
          <w:color w:val="818181"/>
          <w:sz w:val="22"/>
        </w:rPr>
      </w:pPr>
    </w:p>
    <w:tbl>
      <w:tblPr>
        <w:tblStyle w:val="TableGrid"/>
        <w:tblW w:w="10975"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5826"/>
        <w:gridCol w:w="1819"/>
        <w:gridCol w:w="3330"/>
      </w:tblGrid>
      <w:tr w:rsidR="008D40ED" w:rsidRPr="00F72276" w14:paraId="328F9504" w14:textId="77777777" w:rsidTr="008D40ED">
        <w:trPr>
          <w:trHeight w:hRule="exact" w:val="632"/>
        </w:trPr>
        <w:tc>
          <w:tcPr>
            <w:tcW w:w="5826" w:type="dxa"/>
            <w:shd w:val="clear" w:color="auto" w:fill="5B77CC"/>
            <w:vAlign w:val="center"/>
          </w:tcPr>
          <w:p w14:paraId="34929B35" w14:textId="77777777" w:rsidR="008D40ED" w:rsidRPr="00F72276" w:rsidRDefault="008D40ED" w:rsidP="00B75B86">
            <w:pPr>
              <w:tabs>
                <w:tab w:val="left" w:pos="820"/>
                <w:tab w:val="left" w:pos="821"/>
              </w:tabs>
              <w:rPr>
                <w:rFonts w:ascii="Calibri" w:hAnsi="Calibri" w:cs="Calibri"/>
                <w:b/>
                <w:color w:val="FFFFFF" w:themeColor="background1"/>
                <w:sz w:val="24"/>
              </w:rPr>
            </w:pPr>
            <w:r w:rsidRPr="00F72276">
              <w:rPr>
                <w:rFonts w:ascii="Calibri" w:hAnsi="Calibri" w:cs="Calibri"/>
                <w:b/>
                <w:color w:val="FFFFFF" w:themeColor="background1"/>
                <w:sz w:val="24"/>
              </w:rPr>
              <w:t>Action</w:t>
            </w:r>
          </w:p>
        </w:tc>
        <w:tc>
          <w:tcPr>
            <w:tcW w:w="1819" w:type="dxa"/>
            <w:shd w:val="clear" w:color="auto" w:fill="5B77CC"/>
            <w:vAlign w:val="center"/>
          </w:tcPr>
          <w:p w14:paraId="383A1551" w14:textId="4426BD73" w:rsidR="008D40ED" w:rsidRPr="008D40ED" w:rsidRDefault="008D40ED" w:rsidP="00B75B86">
            <w:pPr>
              <w:pStyle w:val="Heading2"/>
              <w:spacing w:before="0"/>
              <w:jc w:val="center"/>
              <w:rPr>
                <w:rFonts w:ascii="Calibri" w:hAnsi="Calibri" w:cs="Calibri"/>
                <w:b/>
                <w:color w:val="808080" w:themeColor="background1" w:themeShade="80"/>
                <w:sz w:val="24"/>
              </w:rPr>
            </w:pPr>
            <w:r w:rsidRPr="008D40ED">
              <w:rPr>
                <w:rFonts w:ascii="Calibri" w:hAnsi="Calibri" w:cs="Calibri"/>
                <w:b/>
                <w:color w:val="808080" w:themeColor="background1" w:themeShade="80"/>
                <w:sz w:val="24"/>
              </w:rPr>
              <w:t xml:space="preserve">Review </w:t>
            </w:r>
          </w:p>
        </w:tc>
        <w:tc>
          <w:tcPr>
            <w:tcW w:w="3330" w:type="dxa"/>
            <w:shd w:val="clear" w:color="auto" w:fill="5B77CC"/>
            <w:vAlign w:val="center"/>
          </w:tcPr>
          <w:p w14:paraId="77590B07" w14:textId="646B9B18" w:rsidR="008D40ED" w:rsidRPr="00F72276" w:rsidRDefault="008D40ED" w:rsidP="00B75B86">
            <w:pPr>
              <w:pStyle w:val="Heading2"/>
              <w:spacing w:before="0"/>
              <w:jc w:val="center"/>
              <w:rPr>
                <w:rFonts w:ascii="Calibri" w:hAnsi="Calibri" w:cs="Calibri"/>
                <w:color w:val="FFFFFF" w:themeColor="background1"/>
                <w:sz w:val="24"/>
              </w:rPr>
            </w:pPr>
            <w:r w:rsidRPr="00F72276">
              <w:rPr>
                <w:rFonts w:ascii="Calibri" w:hAnsi="Calibri" w:cs="Calibri"/>
                <w:b/>
                <w:color w:val="FFFFFF" w:themeColor="background1"/>
                <w:sz w:val="24"/>
              </w:rPr>
              <w:t xml:space="preserve">Decision </w:t>
            </w:r>
          </w:p>
          <w:p w14:paraId="2E091663" w14:textId="77777777" w:rsidR="008D40ED" w:rsidRPr="00F72276" w:rsidRDefault="008D40ED" w:rsidP="00B75B86">
            <w:pPr>
              <w:pStyle w:val="Heading2"/>
              <w:spacing w:before="0"/>
              <w:jc w:val="center"/>
              <w:rPr>
                <w:rFonts w:ascii="Calibri" w:hAnsi="Calibri" w:cs="Calibri"/>
                <w:b/>
                <w:strike/>
                <w:color w:val="FFFFFF" w:themeColor="background1"/>
                <w:sz w:val="24"/>
              </w:rPr>
            </w:pPr>
            <w:r w:rsidRPr="00F72276">
              <w:rPr>
                <w:rFonts w:ascii="Calibri" w:hAnsi="Calibri" w:cs="Calibri"/>
                <w:b/>
                <w:strike/>
                <w:color w:val="FFFFFF" w:themeColor="background1"/>
                <w:sz w:val="24"/>
              </w:rPr>
              <w:t>Rights</w:t>
            </w:r>
          </w:p>
        </w:tc>
      </w:tr>
      <w:tr w:rsidR="008D40ED" w:rsidRPr="00F72276" w14:paraId="08A273C4" w14:textId="77777777" w:rsidTr="008D40ED">
        <w:trPr>
          <w:trHeight w:val="710"/>
        </w:trPr>
        <w:tc>
          <w:tcPr>
            <w:tcW w:w="5826" w:type="dxa"/>
            <w:vAlign w:val="center"/>
          </w:tcPr>
          <w:p w14:paraId="4954853B" w14:textId="5BD28894" w:rsidR="008D40ED" w:rsidRPr="00F72276" w:rsidRDefault="008D40ED" w:rsidP="00B75B86">
            <w:pPr>
              <w:tabs>
                <w:tab w:val="left" w:pos="820"/>
                <w:tab w:val="left" w:pos="821"/>
              </w:tabs>
              <w:rPr>
                <w:rFonts w:asciiTheme="minorHAnsi" w:hAnsiTheme="minorHAnsi" w:cstheme="minorHAnsi"/>
              </w:rPr>
            </w:pPr>
            <w:r w:rsidRPr="00F72276">
              <w:rPr>
                <w:rFonts w:asciiTheme="minorHAnsi" w:hAnsiTheme="minorHAnsi" w:cstheme="minorHAnsi"/>
              </w:rPr>
              <w:t>Report significant societies’ risks involving legal implications for the organization or highly confidential information to the Risk Committee.</w:t>
            </w:r>
          </w:p>
        </w:tc>
        <w:tc>
          <w:tcPr>
            <w:tcW w:w="1819" w:type="dxa"/>
            <w:vAlign w:val="center"/>
          </w:tcPr>
          <w:p w14:paraId="5A223064" w14:textId="64D0231E" w:rsidR="008D40ED" w:rsidRPr="008D40ED" w:rsidRDefault="008D40ED" w:rsidP="00B75B86">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330" w:type="dxa"/>
            <w:vAlign w:val="center"/>
          </w:tcPr>
          <w:p w14:paraId="4A880CEA" w14:textId="515AAC74" w:rsidR="008D40ED" w:rsidRPr="00F72276" w:rsidRDefault="008D40ED" w:rsidP="00B75B86">
            <w:pPr>
              <w:pStyle w:val="Heading2"/>
              <w:spacing w:before="0"/>
              <w:jc w:val="center"/>
              <w:rPr>
                <w:rFonts w:ascii="Calibri" w:hAnsi="Calibri" w:cs="Calibri"/>
                <w:b/>
                <w:color w:val="777777"/>
                <w:sz w:val="22"/>
              </w:rPr>
            </w:pPr>
            <w:r w:rsidRPr="00F72276">
              <w:rPr>
                <w:rFonts w:ascii="Calibri" w:hAnsi="Calibri" w:cs="Calibri"/>
                <w:b/>
                <w:color w:val="777777"/>
                <w:sz w:val="22"/>
              </w:rPr>
              <w:t>Risk Committee</w:t>
            </w:r>
          </w:p>
        </w:tc>
      </w:tr>
      <w:tr w:rsidR="008D40ED" w:rsidRPr="00F72276" w14:paraId="649E687A" w14:textId="77777777" w:rsidTr="008D40ED">
        <w:trPr>
          <w:trHeight w:val="868"/>
        </w:trPr>
        <w:tc>
          <w:tcPr>
            <w:tcW w:w="5826" w:type="dxa"/>
            <w:shd w:val="clear" w:color="auto" w:fill="F2F2F2" w:themeFill="background1" w:themeFillShade="F2"/>
            <w:vAlign w:val="center"/>
          </w:tcPr>
          <w:p w14:paraId="5B3FCA64" w14:textId="612DF03C" w:rsidR="008D40ED" w:rsidRPr="00F72276" w:rsidRDefault="008D40ED" w:rsidP="00B75B86">
            <w:pPr>
              <w:tabs>
                <w:tab w:val="left" w:pos="821"/>
                <w:tab w:val="left" w:pos="822"/>
              </w:tabs>
              <w:rPr>
                <w:rFonts w:asciiTheme="minorHAnsi" w:hAnsiTheme="minorHAnsi" w:cstheme="minorHAnsi"/>
              </w:rPr>
            </w:pPr>
            <w:r w:rsidRPr="00F72276">
              <w:rPr>
                <w:rFonts w:asciiTheme="minorHAnsi" w:hAnsiTheme="minorHAnsi" w:cstheme="minorHAnsi"/>
              </w:rPr>
              <w:t xml:space="preserve">Submit any requests for a working group, with its defined purpose, scope, and list of </w:t>
            </w:r>
            <w:proofErr w:type="gramStart"/>
            <w:r w:rsidRPr="00F72276">
              <w:rPr>
                <w:rFonts w:asciiTheme="minorHAnsi" w:hAnsiTheme="minorHAnsi" w:cstheme="minorHAnsi"/>
              </w:rPr>
              <w:t>deliverables</w:t>
            </w:r>
            <w:proofErr w:type="gramEnd"/>
            <w:r w:rsidRPr="00F72276">
              <w:rPr>
                <w:rFonts w:asciiTheme="minorHAnsi" w:hAnsiTheme="minorHAnsi" w:cstheme="minorHAnsi"/>
              </w:rPr>
              <w:t>, of the Council to the Governance Committee for review and approval.</w:t>
            </w:r>
          </w:p>
        </w:tc>
        <w:tc>
          <w:tcPr>
            <w:tcW w:w="1819" w:type="dxa"/>
            <w:shd w:val="clear" w:color="auto" w:fill="F2F2F2" w:themeFill="background1" w:themeFillShade="F2"/>
            <w:vAlign w:val="center"/>
          </w:tcPr>
          <w:p w14:paraId="6BF6065B" w14:textId="754C4EDA" w:rsidR="008D40ED" w:rsidRPr="008D40ED" w:rsidRDefault="008D40ED" w:rsidP="00B75B86">
            <w:pPr>
              <w:pStyle w:val="Heading2"/>
              <w:spacing w:before="0"/>
              <w:jc w:val="center"/>
              <w:rPr>
                <w:rFonts w:ascii="Calibri" w:hAnsi="Calibri" w:cs="Calibri"/>
                <w:b/>
                <w:color w:val="808080" w:themeColor="background1" w:themeShade="80"/>
                <w:sz w:val="22"/>
              </w:rPr>
            </w:pPr>
            <w:r w:rsidRPr="008D40ED">
              <w:rPr>
                <w:rFonts w:ascii="Calibri" w:hAnsi="Calibri" w:cs="Calibri"/>
                <w:b/>
                <w:color w:val="808080" w:themeColor="background1" w:themeShade="80"/>
                <w:sz w:val="22"/>
              </w:rPr>
              <w:t>SPSC</w:t>
            </w:r>
          </w:p>
        </w:tc>
        <w:tc>
          <w:tcPr>
            <w:tcW w:w="3330" w:type="dxa"/>
            <w:shd w:val="clear" w:color="auto" w:fill="F2F2F2" w:themeFill="background1" w:themeFillShade="F2"/>
            <w:vAlign w:val="center"/>
          </w:tcPr>
          <w:p w14:paraId="39445444" w14:textId="0F6CF60A" w:rsidR="008D40ED" w:rsidRPr="00F72276" w:rsidRDefault="008D40ED" w:rsidP="00B75B86">
            <w:pPr>
              <w:pStyle w:val="Heading2"/>
              <w:spacing w:before="0"/>
              <w:jc w:val="center"/>
              <w:rPr>
                <w:rFonts w:ascii="Calibri" w:hAnsi="Calibri" w:cs="Calibri"/>
                <w:b/>
                <w:color w:val="777777"/>
                <w:sz w:val="22"/>
              </w:rPr>
            </w:pPr>
            <w:r w:rsidRPr="00F72276">
              <w:rPr>
                <w:rFonts w:ascii="Calibri" w:hAnsi="Calibri" w:cs="Calibri"/>
                <w:b/>
                <w:color w:val="777777"/>
                <w:sz w:val="22"/>
              </w:rPr>
              <w:t>Governance Committee</w:t>
            </w:r>
          </w:p>
        </w:tc>
      </w:tr>
    </w:tbl>
    <w:p w14:paraId="79B9F7FD" w14:textId="77777777" w:rsidR="00B07491" w:rsidRPr="00F72276" w:rsidRDefault="00B07491" w:rsidP="006D2DB0">
      <w:pPr>
        <w:pStyle w:val="Heading1"/>
        <w:spacing w:before="34" w:line="230" w:lineRule="auto"/>
        <w:ind w:left="0"/>
        <w:rPr>
          <w:rFonts w:asciiTheme="minorHAnsi" w:hAnsiTheme="minorHAnsi" w:cstheme="minorHAnsi"/>
          <w:color w:val="818181"/>
          <w:sz w:val="32"/>
        </w:rPr>
      </w:pPr>
    </w:p>
    <w:p w14:paraId="77B75E55" w14:textId="2BABD292" w:rsidR="0050387A" w:rsidRPr="00F72276" w:rsidRDefault="0050387A" w:rsidP="006D2DB0">
      <w:pPr>
        <w:pStyle w:val="Heading1"/>
        <w:spacing w:before="34" w:line="230" w:lineRule="auto"/>
        <w:ind w:left="0"/>
        <w:rPr>
          <w:rFonts w:asciiTheme="minorHAnsi" w:hAnsiTheme="minorHAnsi" w:cstheme="minorHAnsi"/>
          <w:color w:val="818181"/>
          <w:sz w:val="32"/>
        </w:rPr>
      </w:pPr>
      <w:r w:rsidRPr="00F72276">
        <w:rPr>
          <w:rFonts w:asciiTheme="minorHAnsi" w:hAnsiTheme="minorHAnsi" w:cstheme="minorHAnsi"/>
          <w:color w:val="818181"/>
          <w:sz w:val="32"/>
        </w:rPr>
        <w:t>Annual Evaluation</w:t>
      </w:r>
    </w:p>
    <w:p w14:paraId="22259A7A" w14:textId="77777777" w:rsidR="004C1AAF" w:rsidRPr="00F72276" w:rsidRDefault="004C1AAF" w:rsidP="006D2DB0">
      <w:pPr>
        <w:pStyle w:val="Heading1"/>
        <w:spacing w:before="34" w:line="230" w:lineRule="auto"/>
        <w:ind w:left="0"/>
        <w:rPr>
          <w:rFonts w:asciiTheme="minorHAnsi" w:eastAsiaTheme="majorEastAsia" w:hAnsiTheme="minorHAnsi" w:cstheme="minorHAnsi"/>
          <w:b w:val="0"/>
          <w:sz w:val="10"/>
          <w:szCs w:val="10"/>
        </w:rPr>
      </w:pPr>
    </w:p>
    <w:p w14:paraId="48773B8C" w14:textId="08C17418" w:rsidR="0050387A" w:rsidRPr="00F72276" w:rsidRDefault="00087CDB" w:rsidP="006D2DB0">
      <w:pPr>
        <w:pStyle w:val="Heading1"/>
        <w:spacing w:before="34" w:line="230" w:lineRule="auto"/>
        <w:ind w:left="0"/>
        <w:rPr>
          <w:rFonts w:asciiTheme="minorHAnsi" w:eastAsiaTheme="majorEastAsia" w:hAnsiTheme="minorHAnsi" w:cstheme="minorHAnsi"/>
          <w:b w:val="0"/>
          <w:sz w:val="22"/>
          <w:szCs w:val="22"/>
        </w:rPr>
      </w:pPr>
      <w:r w:rsidRPr="00F72276">
        <w:rPr>
          <w:rFonts w:asciiTheme="minorHAnsi" w:eastAsiaTheme="majorEastAsia" w:hAnsiTheme="minorHAnsi" w:cstheme="minorHAnsi"/>
          <w:b w:val="0"/>
          <w:sz w:val="22"/>
          <w:szCs w:val="22"/>
        </w:rPr>
        <w:t xml:space="preserve">The </w:t>
      </w:r>
      <w:r w:rsidR="0050387A" w:rsidRPr="00F72276">
        <w:rPr>
          <w:rFonts w:asciiTheme="minorHAnsi" w:eastAsiaTheme="majorEastAsia" w:hAnsiTheme="minorHAnsi" w:cstheme="minorHAnsi"/>
          <w:b w:val="0"/>
          <w:sz w:val="22"/>
          <w:szCs w:val="22"/>
        </w:rPr>
        <w:t xml:space="preserve">Governance Committee (the “GC”) </w:t>
      </w:r>
      <w:r w:rsidRPr="00F72276">
        <w:rPr>
          <w:rFonts w:asciiTheme="minorHAnsi" w:eastAsiaTheme="majorEastAsia" w:hAnsiTheme="minorHAnsi" w:cstheme="minorHAnsi"/>
          <w:b w:val="0"/>
          <w:sz w:val="22"/>
          <w:szCs w:val="22"/>
        </w:rPr>
        <w:t>will</w:t>
      </w:r>
      <w:r w:rsidR="0050387A" w:rsidRPr="00F72276">
        <w:rPr>
          <w:rFonts w:asciiTheme="minorHAnsi" w:eastAsiaTheme="majorEastAsia" w:hAnsiTheme="minorHAnsi" w:cstheme="minorHAnsi"/>
          <w:b w:val="0"/>
          <w:sz w:val="22"/>
          <w:szCs w:val="22"/>
        </w:rPr>
        <w:t xml:space="preserve"> conduct an annual evaluation of the performance of the Council, including a review of the adequacy of this Charter annually, and recommend to the Board such amendments as the GC deems</w:t>
      </w:r>
      <w:r w:rsidR="0050387A" w:rsidRPr="00F72276">
        <w:rPr>
          <w:rFonts w:asciiTheme="minorHAnsi" w:eastAsiaTheme="majorEastAsia" w:hAnsiTheme="minorHAnsi" w:cstheme="minorHAnsi"/>
          <w:b w:val="0"/>
          <w:spacing w:val="-8"/>
          <w:sz w:val="22"/>
          <w:szCs w:val="22"/>
        </w:rPr>
        <w:t xml:space="preserve"> </w:t>
      </w:r>
      <w:r w:rsidR="0050387A" w:rsidRPr="00F72276">
        <w:rPr>
          <w:rFonts w:asciiTheme="minorHAnsi" w:eastAsiaTheme="majorEastAsia" w:hAnsiTheme="minorHAnsi" w:cstheme="minorHAnsi"/>
          <w:b w:val="0"/>
          <w:sz w:val="22"/>
          <w:szCs w:val="22"/>
        </w:rPr>
        <w:t>appropriate</w:t>
      </w:r>
    </w:p>
    <w:p w14:paraId="7B28429E" w14:textId="77777777" w:rsidR="00E5309C" w:rsidRPr="00F72276" w:rsidRDefault="00E5309C" w:rsidP="006D2DB0">
      <w:pPr>
        <w:pStyle w:val="Heading1"/>
        <w:spacing w:before="34" w:line="230" w:lineRule="auto"/>
        <w:ind w:left="0"/>
        <w:rPr>
          <w:rFonts w:asciiTheme="minorHAnsi" w:eastAsiaTheme="majorEastAsia" w:hAnsiTheme="minorHAnsi" w:cstheme="minorHAnsi"/>
          <w:b w:val="0"/>
          <w:sz w:val="22"/>
          <w:szCs w:val="22"/>
        </w:rPr>
      </w:pPr>
    </w:p>
    <w:p w14:paraId="21345383" w14:textId="77777777" w:rsidR="0050387A" w:rsidRPr="00F72276" w:rsidRDefault="0050387A" w:rsidP="006D2DB0">
      <w:pPr>
        <w:pStyle w:val="Heading"/>
        <w:spacing w:before="0" w:line="230" w:lineRule="auto"/>
        <w:rPr>
          <w:rFonts w:asciiTheme="minorHAnsi" w:hAnsiTheme="minorHAnsi" w:cstheme="minorHAnsi"/>
          <w:sz w:val="32"/>
        </w:rPr>
      </w:pPr>
      <w:r w:rsidRPr="00F72276">
        <w:rPr>
          <w:rFonts w:asciiTheme="minorHAnsi" w:hAnsiTheme="minorHAnsi" w:cstheme="minorHAnsi"/>
          <w:sz w:val="32"/>
        </w:rPr>
        <w:t>Executive Liaison</w:t>
      </w:r>
    </w:p>
    <w:p w14:paraId="7AB8D92F" w14:textId="77777777" w:rsidR="004C1AAF" w:rsidRPr="00F72276" w:rsidRDefault="004C1AAF" w:rsidP="006D2DB0">
      <w:pPr>
        <w:pStyle w:val="ListNumber"/>
        <w:numPr>
          <w:ilvl w:val="0"/>
          <w:numId w:val="0"/>
        </w:numPr>
        <w:spacing w:after="0" w:line="230" w:lineRule="auto"/>
        <w:ind w:left="360" w:hanging="360"/>
        <w:rPr>
          <w:rFonts w:cstheme="minorHAnsi"/>
          <w:sz w:val="10"/>
          <w:szCs w:val="10"/>
        </w:rPr>
      </w:pPr>
    </w:p>
    <w:p w14:paraId="7B29E1C9" w14:textId="052C4FE5" w:rsidR="004F2DCA" w:rsidRPr="006F4427" w:rsidRDefault="0050387A" w:rsidP="006D2DB0">
      <w:pPr>
        <w:pStyle w:val="ListNumber"/>
        <w:numPr>
          <w:ilvl w:val="0"/>
          <w:numId w:val="0"/>
        </w:numPr>
        <w:spacing w:after="0" w:line="230" w:lineRule="auto"/>
        <w:ind w:left="360" w:hanging="360"/>
        <w:rPr>
          <w:rFonts w:cstheme="minorHAnsi"/>
          <w:sz w:val="22"/>
          <w:szCs w:val="22"/>
        </w:rPr>
      </w:pPr>
      <w:r w:rsidRPr="00F72276">
        <w:rPr>
          <w:rFonts w:cstheme="minorHAnsi"/>
          <w:sz w:val="22"/>
          <w:szCs w:val="22"/>
        </w:rPr>
        <w:t xml:space="preserve">The management liaison to the Council is the </w:t>
      </w:r>
      <w:r w:rsidR="00D309B5" w:rsidRPr="00F72276">
        <w:rPr>
          <w:rFonts w:cstheme="minorHAnsi"/>
          <w:sz w:val="22"/>
          <w:szCs w:val="22"/>
        </w:rPr>
        <w:t>Managing Director</w:t>
      </w:r>
      <w:r w:rsidR="00574F58" w:rsidRPr="00F72276">
        <w:rPr>
          <w:rFonts w:cstheme="minorHAnsi"/>
          <w:sz w:val="22"/>
          <w:szCs w:val="22"/>
        </w:rPr>
        <w:t xml:space="preserve">, </w:t>
      </w:r>
      <w:r w:rsidR="00B971AC" w:rsidRPr="00F72276">
        <w:rPr>
          <w:rFonts w:cstheme="minorHAnsi"/>
          <w:sz w:val="22"/>
          <w:szCs w:val="22"/>
        </w:rPr>
        <w:t xml:space="preserve">Global </w:t>
      </w:r>
      <w:r w:rsidR="00574F58" w:rsidRPr="00BD46DB">
        <w:rPr>
          <w:rFonts w:cstheme="minorHAnsi"/>
          <w:sz w:val="22"/>
          <w:szCs w:val="22"/>
        </w:rPr>
        <w:t xml:space="preserve">Member &amp; </w:t>
      </w:r>
      <w:r w:rsidR="00B971AC" w:rsidRPr="00F72276">
        <w:rPr>
          <w:rFonts w:cstheme="minorHAnsi"/>
          <w:sz w:val="22"/>
          <w:szCs w:val="22"/>
        </w:rPr>
        <w:t>Society Relations</w:t>
      </w:r>
      <w:r w:rsidRPr="00F72276">
        <w:rPr>
          <w:rFonts w:cstheme="minorHAnsi"/>
          <w:sz w:val="22"/>
          <w:szCs w:val="22"/>
        </w:rPr>
        <w:t>.</w:t>
      </w:r>
    </w:p>
    <w:sectPr w:rsidR="004F2DCA" w:rsidRPr="006F4427" w:rsidSect="004C1AAF">
      <w:headerReference w:type="default" r:id="rId12"/>
      <w:footerReference w:type="even" r:id="rId13"/>
      <w:footerReference w:type="default" r:id="rId14"/>
      <w:headerReference w:type="first" r:id="rId15"/>
      <w:footerReference w:type="first" r:id="rId16"/>
      <w:pgSz w:w="12240" w:h="15840"/>
      <w:pgMar w:top="720" w:right="720" w:bottom="720" w:left="72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680C" w14:textId="77777777" w:rsidR="00991898" w:rsidRDefault="00991898">
      <w:r>
        <w:separator/>
      </w:r>
    </w:p>
  </w:endnote>
  <w:endnote w:type="continuationSeparator" w:id="0">
    <w:p w14:paraId="5FF21A2E" w14:textId="77777777" w:rsidR="00991898" w:rsidRDefault="00991898">
      <w:r>
        <w:continuationSeparator/>
      </w:r>
    </w:p>
  </w:endnote>
  <w:endnote w:type="continuationNotice" w:id="1">
    <w:p w14:paraId="5C2E5054" w14:textId="77777777" w:rsidR="00991898" w:rsidRDefault="00991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74DE" w14:textId="74B9D2C2" w:rsidR="00E5309C" w:rsidRPr="00E5309C" w:rsidRDefault="00E5309C" w:rsidP="00E5309C">
    <w:pPr>
      <w:pStyle w:val="Footer"/>
      <w:jc w:val="center"/>
      <w:rPr>
        <w:rFonts w:ascii="Calibri" w:hAnsi="Calibri" w:cs="Calibri"/>
      </w:rPr>
    </w:pPr>
    <w:r w:rsidRPr="00350DF2">
      <w:rPr>
        <w:rFonts w:ascii="Calibri" w:hAnsi="Calibri" w:cs="Calibri"/>
        <w:color w:val="5B77CC"/>
      </w:rPr>
      <w:t xml:space="preserve">CFA Institute </w:t>
    </w:r>
    <w:r w:rsidRPr="00E5309C">
      <w:rPr>
        <w:rFonts w:ascii="Calibri" w:hAnsi="Calibri" w:cs="Calibri"/>
      </w:rPr>
      <w:tab/>
    </w:r>
    <w:r>
      <w:rPr>
        <w:rFonts w:ascii="Calibri" w:hAnsi="Calibri" w:cs="Calibri"/>
      </w:rPr>
      <w:t xml:space="preserve">Society Partnership </w:t>
    </w:r>
    <w:r w:rsidR="00A1250A" w:rsidRPr="008D40ED">
      <w:rPr>
        <w:rFonts w:ascii="Calibri" w:hAnsi="Calibri" w:cs="Calibri"/>
      </w:rPr>
      <w:t xml:space="preserve">and Strategy </w:t>
    </w:r>
    <w:r>
      <w:rPr>
        <w:rFonts w:ascii="Calibri" w:hAnsi="Calibri" w:cs="Calibri"/>
      </w:rPr>
      <w:t>Council</w:t>
    </w:r>
    <w:r w:rsidRPr="00E5309C">
      <w:rPr>
        <w:rFonts w:ascii="Calibri" w:hAnsi="Calibri" w:cs="Calibri"/>
      </w:rPr>
      <w:tab/>
      <w:t xml:space="preserve">                             </w:t>
    </w:r>
    <w:r>
      <w:rPr>
        <w:rFonts w:ascii="Calibri" w:hAnsi="Calibri" w:cs="Calibr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61BF" w14:textId="567FA80C" w:rsidR="00E5309C" w:rsidRPr="00E5309C" w:rsidRDefault="00E5309C" w:rsidP="00E5309C">
    <w:pPr>
      <w:pStyle w:val="Footer"/>
      <w:jc w:val="center"/>
      <w:rPr>
        <w:rFonts w:ascii="Calibri" w:hAnsi="Calibri" w:cs="Calibri"/>
      </w:rPr>
    </w:pPr>
    <w:r w:rsidRPr="00350DF2">
      <w:rPr>
        <w:rFonts w:ascii="Calibri" w:hAnsi="Calibri" w:cs="Calibri"/>
        <w:color w:val="5B77CC"/>
      </w:rPr>
      <w:t xml:space="preserve">CFA Institute </w:t>
    </w:r>
    <w:r w:rsidRPr="00E5309C">
      <w:rPr>
        <w:rFonts w:ascii="Calibri" w:hAnsi="Calibri" w:cs="Calibri"/>
      </w:rPr>
      <w:tab/>
    </w:r>
    <w:r>
      <w:rPr>
        <w:rFonts w:ascii="Calibri" w:hAnsi="Calibri" w:cs="Calibri"/>
      </w:rPr>
      <w:t xml:space="preserve">Society Partnership </w:t>
    </w:r>
    <w:r w:rsidR="00A1250A" w:rsidRPr="00BD46DB">
      <w:rPr>
        <w:rFonts w:ascii="Calibri" w:hAnsi="Calibri" w:cs="Calibri"/>
      </w:rPr>
      <w:t xml:space="preserve">and Strategy </w:t>
    </w:r>
    <w:r>
      <w:rPr>
        <w:rFonts w:ascii="Calibri" w:hAnsi="Calibri" w:cs="Calibri"/>
      </w:rPr>
      <w:t>Council</w:t>
    </w:r>
    <w:r w:rsidRPr="00E5309C">
      <w:rPr>
        <w:rFonts w:ascii="Calibri" w:hAnsi="Calibri" w:cs="Calibri"/>
      </w:rPr>
      <w:tab/>
      <w:t xml:space="preserve">                             </w:t>
    </w:r>
    <w:r>
      <w:rPr>
        <w:rFonts w:ascii="Calibri" w:hAnsi="Calibri" w:cs="Calibri"/>
      </w:rPr>
      <w:t>3</w:t>
    </w:r>
  </w:p>
  <w:p w14:paraId="0A7E4D6B" w14:textId="1A21E46F" w:rsidR="00F11154" w:rsidRDefault="001055ED">
    <w:pPr>
      <w:pStyle w:val="BodyText"/>
      <w:spacing w:line="14" w:lineRule="auto"/>
    </w:pPr>
    <w:r>
      <w:rPr>
        <w:noProof/>
      </w:rPr>
      <mc:AlternateContent>
        <mc:Choice Requires="wps">
          <w:drawing>
            <wp:anchor distT="0" distB="0" distL="114300" distR="114300" simplePos="0" relativeHeight="251658240" behindDoc="1" locked="0" layoutInCell="1" allowOverlap="1" wp14:anchorId="4F02E87B" wp14:editId="2145441A">
              <wp:simplePos x="0" y="0"/>
              <wp:positionH relativeFrom="page">
                <wp:posOffset>6606540</wp:posOffset>
              </wp:positionH>
              <wp:positionV relativeFrom="page">
                <wp:posOffset>9448165</wp:posOffset>
              </wp:positionV>
              <wp:extent cx="1212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B21E8" w14:textId="775C79D9" w:rsidR="00F11154" w:rsidRDefault="00F11154">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2E87B" id="_x0000_t202" coordsize="21600,21600" o:spt="202" path="m,l,21600r21600,l21600,xe">
              <v:stroke joinstyle="miter"/>
              <v:path gradientshapeok="t" o:connecttype="rect"/>
            </v:shapetype>
            <v:shape id="Text Box 1" o:spid="_x0000_s1026" type="#_x0000_t202" style="position:absolute;margin-left:520.2pt;margin-top:743.95pt;width:9.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" filled="f" stroked="f">
              <v:textbox inset="0,0,0,0">
                <w:txbxContent>
                  <w:p w14:paraId="0A2B21E8" w14:textId="775C79D9" w:rsidR="00F11154" w:rsidRDefault="00F11154">
                    <w:pPr>
                      <w:pStyle w:val="BodyText"/>
                      <w:spacing w:before="12"/>
                      <w:ind w:left="4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3B6F" w14:textId="4726A90F" w:rsidR="00E5309C" w:rsidRPr="00E5309C" w:rsidRDefault="00E5309C" w:rsidP="00E5309C">
    <w:pPr>
      <w:pStyle w:val="Footer"/>
      <w:jc w:val="center"/>
      <w:rPr>
        <w:rFonts w:ascii="Calibri" w:hAnsi="Calibri" w:cs="Calibri"/>
      </w:rPr>
    </w:pPr>
    <w:r w:rsidRPr="00350DF2">
      <w:rPr>
        <w:rFonts w:ascii="Calibri" w:hAnsi="Calibri" w:cs="Calibri"/>
        <w:color w:val="5B77CC"/>
      </w:rPr>
      <w:t xml:space="preserve">CFA Institute </w:t>
    </w:r>
    <w:r w:rsidRPr="00E5309C">
      <w:rPr>
        <w:rFonts w:ascii="Calibri" w:hAnsi="Calibri" w:cs="Calibri"/>
      </w:rPr>
      <w:tab/>
    </w:r>
    <w:r>
      <w:rPr>
        <w:rFonts w:ascii="Calibri" w:hAnsi="Calibri" w:cs="Calibri"/>
      </w:rPr>
      <w:t xml:space="preserve">Society Partnership </w:t>
    </w:r>
    <w:r w:rsidR="00A1250A" w:rsidRPr="008D40ED">
      <w:rPr>
        <w:rFonts w:ascii="Calibri" w:hAnsi="Calibri" w:cs="Calibri"/>
      </w:rPr>
      <w:t xml:space="preserve">and Strategy </w:t>
    </w:r>
    <w:r>
      <w:rPr>
        <w:rFonts w:ascii="Calibri" w:hAnsi="Calibri" w:cs="Calibri"/>
      </w:rPr>
      <w:t>Council</w:t>
    </w:r>
    <w:r w:rsidRPr="00E5309C">
      <w:rPr>
        <w:rFonts w:ascii="Calibri" w:hAnsi="Calibri" w:cs="Calibri"/>
      </w:rP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CFB2" w14:textId="77777777" w:rsidR="00991898" w:rsidRDefault="00991898">
      <w:r>
        <w:separator/>
      </w:r>
    </w:p>
  </w:footnote>
  <w:footnote w:type="continuationSeparator" w:id="0">
    <w:p w14:paraId="69CA2CDD" w14:textId="77777777" w:rsidR="00991898" w:rsidRDefault="00991898">
      <w:r>
        <w:continuationSeparator/>
      </w:r>
    </w:p>
  </w:footnote>
  <w:footnote w:type="continuationNotice" w:id="1">
    <w:p w14:paraId="7600A7F2" w14:textId="77777777" w:rsidR="00991898" w:rsidRDefault="00991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72C6" w14:textId="52206940" w:rsidR="00F11154" w:rsidRDefault="00F11154">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F19C" w14:textId="0A962506" w:rsidR="00E5309C" w:rsidRPr="008D40ED" w:rsidRDefault="00E5309C" w:rsidP="00E5309C">
    <w:pPr>
      <w:pStyle w:val="Header"/>
      <w:jc w:val="right"/>
      <w:rPr>
        <w:rFonts w:asciiTheme="minorHAnsi" w:hAnsiTheme="minorHAnsi" w:cstheme="minorHAnsi"/>
        <w:i/>
      </w:rPr>
    </w:pPr>
    <w:r w:rsidRPr="008D40ED">
      <w:rPr>
        <w:rFonts w:asciiTheme="minorHAnsi" w:hAnsiTheme="minorHAnsi" w:cstheme="minorHAnsi"/>
        <w:i/>
      </w:rPr>
      <w:t xml:space="preserve">Approved </w:t>
    </w:r>
    <w:r w:rsidR="008D40ED" w:rsidRPr="008D40ED">
      <w:rPr>
        <w:rFonts w:asciiTheme="minorHAnsi" w:hAnsiTheme="minorHAnsi" w:cstheme="minorHAnsi"/>
        <w:i/>
      </w:rPr>
      <w:t>20 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680CF4"/>
    <w:lvl w:ilvl="0">
      <w:start w:val="1"/>
      <w:numFmt w:val="decimal"/>
      <w:pStyle w:val="ListNumber"/>
      <w:lvlText w:val="%1."/>
      <w:lvlJc w:val="left"/>
      <w:pPr>
        <w:ind w:left="360" w:hanging="360"/>
      </w:pPr>
      <w:rPr>
        <w:rFonts w:hint="default"/>
        <w:color w:val="auto"/>
      </w:rPr>
    </w:lvl>
  </w:abstractNum>
  <w:abstractNum w:abstractNumId="1" w15:restartNumberingAfterBreak="0">
    <w:nsid w:val="27C617D2"/>
    <w:multiLevelType w:val="hybridMultilevel"/>
    <w:tmpl w:val="13B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35CB4"/>
    <w:multiLevelType w:val="hybridMultilevel"/>
    <w:tmpl w:val="CB0AF11E"/>
    <w:lvl w:ilvl="0" w:tplc="BA366310">
      <w:numFmt w:val="bullet"/>
      <w:lvlText w:val=""/>
      <w:lvlJc w:val="left"/>
      <w:pPr>
        <w:ind w:left="720" w:hanging="360"/>
      </w:pPr>
      <w:rPr>
        <w:rFonts w:ascii="Symbol" w:eastAsia="Symbol" w:hAnsi="Symbol" w:cs="Symbol" w:hint="default"/>
        <w:w w:val="99"/>
        <w:sz w:val="22"/>
        <w:szCs w:val="20"/>
        <w:lang w:val="en-US" w:eastAsia="en-US" w:bidi="en-US"/>
      </w:rPr>
    </w:lvl>
    <w:lvl w:ilvl="1" w:tplc="24646B28">
      <w:numFmt w:val="bullet"/>
      <w:lvlText w:val="•"/>
      <w:lvlJc w:val="left"/>
      <w:pPr>
        <w:ind w:left="1594" w:hanging="360"/>
      </w:pPr>
      <w:rPr>
        <w:rFonts w:hint="default"/>
        <w:lang w:val="en-US" w:eastAsia="en-US" w:bidi="en-US"/>
      </w:rPr>
    </w:lvl>
    <w:lvl w:ilvl="2" w:tplc="5ADE81A0">
      <w:numFmt w:val="bullet"/>
      <w:lvlText w:val="•"/>
      <w:lvlJc w:val="left"/>
      <w:pPr>
        <w:ind w:left="2468" w:hanging="360"/>
      </w:pPr>
      <w:rPr>
        <w:rFonts w:hint="default"/>
        <w:lang w:val="en-US" w:eastAsia="en-US" w:bidi="en-US"/>
      </w:rPr>
    </w:lvl>
    <w:lvl w:ilvl="3" w:tplc="432C6CE6">
      <w:numFmt w:val="bullet"/>
      <w:lvlText w:val="•"/>
      <w:lvlJc w:val="left"/>
      <w:pPr>
        <w:ind w:left="3342" w:hanging="360"/>
      </w:pPr>
      <w:rPr>
        <w:rFonts w:hint="default"/>
        <w:lang w:val="en-US" w:eastAsia="en-US" w:bidi="en-US"/>
      </w:rPr>
    </w:lvl>
    <w:lvl w:ilvl="4" w:tplc="531EFA06">
      <w:numFmt w:val="bullet"/>
      <w:lvlText w:val="•"/>
      <w:lvlJc w:val="left"/>
      <w:pPr>
        <w:ind w:left="4216" w:hanging="360"/>
      </w:pPr>
      <w:rPr>
        <w:rFonts w:hint="default"/>
        <w:lang w:val="en-US" w:eastAsia="en-US" w:bidi="en-US"/>
      </w:rPr>
    </w:lvl>
    <w:lvl w:ilvl="5" w:tplc="7C540BD2">
      <w:numFmt w:val="bullet"/>
      <w:lvlText w:val="•"/>
      <w:lvlJc w:val="left"/>
      <w:pPr>
        <w:ind w:left="5090" w:hanging="360"/>
      </w:pPr>
      <w:rPr>
        <w:rFonts w:hint="default"/>
        <w:lang w:val="en-US" w:eastAsia="en-US" w:bidi="en-US"/>
      </w:rPr>
    </w:lvl>
    <w:lvl w:ilvl="6" w:tplc="C392364C">
      <w:numFmt w:val="bullet"/>
      <w:lvlText w:val="•"/>
      <w:lvlJc w:val="left"/>
      <w:pPr>
        <w:ind w:left="5964" w:hanging="360"/>
      </w:pPr>
      <w:rPr>
        <w:rFonts w:hint="default"/>
        <w:lang w:val="en-US" w:eastAsia="en-US" w:bidi="en-US"/>
      </w:rPr>
    </w:lvl>
    <w:lvl w:ilvl="7" w:tplc="5F222C3A">
      <w:numFmt w:val="bullet"/>
      <w:lvlText w:val="•"/>
      <w:lvlJc w:val="left"/>
      <w:pPr>
        <w:ind w:left="6838" w:hanging="360"/>
      </w:pPr>
      <w:rPr>
        <w:rFonts w:hint="default"/>
        <w:lang w:val="en-US" w:eastAsia="en-US" w:bidi="en-US"/>
      </w:rPr>
    </w:lvl>
    <w:lvl w:ilvl="8" w:tplc="0F2A307A">
      <w:numFmt w:val="bullet"/>
      <w:lvlText w:val="•"/>
      <w:lvlJc w:val="left"/>
      <w:pPr>
        <w:ind w:left="7712" w:hanging="360"/>
      </w:pPr>
      <w:rPr>
        <w:rFonts w:hint="default"/>
        <w:lang w:val="en-US" w:eastAsia="en-US" w:bidi="en-US"/>
      </w:rPr>
    </w:lvl>
  </w:abstractNum>
  <w:abstractNum w:abstractNumId="3" w15:restartNumberingAfterBreak="0">
    <w:nsid w:val="7C970859"/>
    <w:multiLevelType w:val="multilevel"/>
    <w:tmpl w:val="BCF80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5385332">
    <w:abstractNumId w:val="2"/>
  </w:num>
  <w:num w:numId="2" w16cid:durableId="1709332977">
    <w:abstractNumId w:val="1"/>
  </w:num>
  <w:num w:numId="3" w16cid:durableId="1945336612">
    <w:abstractNumId w:val="0"/>
  </w:num>
  <w:num w:numId="4" w16cid:durableId="954603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54"/>
    <w:rsid w:val="000079CF"/>
    <w:rsid w:val="00016FE5"/>
    <w:rsid w:val="000250F3"/>
    <w:rsid w:val="000332EB"/>
    <w:rsid w:val="00033CAD"/>
    <w:rsid w:val="00041791"/>
    <w:rsid w:val="00046FFE"/>
    <w:rsid w:val="00074C42"/>
    <w:rsid w:val="0008405A"/>
    <w:rsid w:val="00087CDB"/>
    <w:rsid w:val="000913E9"/>
    <w:rsid w:val="000D2938"/>
    <w:rsid w:val="000D7E85"/>
    <w:rsid w:val="000E2B5B"/>
    <w:rsid w:val="000E5A13"/>
    <w:rsid w:val="000E6314"/>
    <w:rsid w:val="000F21BA"/>
    <w:rsid w:val="00101787"/>
    <w:rsid w:val="001055ED"/>
    <w:rsid w:val="00115EC0"/>
    <w:rsid w:val="00135E27"/>
    <w:rsid w:val="001417B5"/>
    <w:rsid w:val="00142434"/>
    <w:rsid w:val="00157567"/>
    <w:rsid w:val="00163613"/>
    <w:rsid w:val="001746A9"/>
    <w:rsid w:val="001C4068"/>
    <w:rsid w:val="001C67EA"/>
    <w:rsid w:val="001E1C99"/>
    <w:rsid w:val="001E4BF9"/>
    <w:rsid w:val="001F3441"/>
    <w:rsid w:val="00204277"/>
    <w:rsid w:val="002510EB"/>
    <w:rsid w:val="00255F4E"/>
    <w:rsid w:val="002639EF"/>
    <w:rsid w:val="002727EC"/>
    <w:rsid w:val="00294FC7"/>
    <w:rsid w:val="002B730B"/>
    <w:rsid w:val="002D19C9"/>
    <w:rsid w:val="002E2C61"/>
    <w:rsid w:val="00303D4F"/>
    <w:rsid w:val="0031168B"/>
    <w:rsid w:val="00311BA5"/>
    <w:rsid w:val="00317F2E"/>
    <w:rsid w:val="003301D4"/>
    <w:rsid w:val="00350218"/>
    <w:rsid w:val="00350DF2"/>
    <w:rsid w:val="00352247"/>
    <w:rsid w:val="00357292"/>
    <w:rsid w:val="00386348"/>
    <w:rsid w:val="003938AC"/>
    <w:rsid w:val="003B71BD"/>
    <w:rsid w:val="003C2C4E"/>
    <w:rsid w:val="003D012B"/>
    <w:rsid w:val="003D11E9"/>
    <w:rsid w:val="003E6F30"/>
    <w:rsid w:val="004017BB"/>
    <w:rsid w:val="00403F9B"/>
    <w:rsid w:val="00415761"/>
    <w:rsid w:val="00416E5F"/>
    <w:rsid w:val="00422E52"/>
    <w:rsid w:val="0042692C"/>
    <w:rsid w:val="004418A1"/>
    <w:rsid w:val="0045353F"/>
    <w:rsid w:val="00490C4E"/>
    <w:rsid w:val="004B12A8"/>
    <w:rsid w:val="004C1AAF"/>
    <w:rsid w:val="004C1B18"/>
    <w:rsid w:val="004C6A75"/>
    <w:rsid w:val="004C731A"/>
    <w:rsid w:val="004D3EED"/>
    <w:rsid w:val="004D5891"/>
    <w:rsid w:val="004F2DCA"/>
    <w:rsid w:val="00502695"/>
    <w:rsid w:val="0050387A"/>
    <w:rsid w:val="00524498"/>
    <w:rsid w:val="005611B5"/>
    <w:rsid w:val="00574F58"/>
    <w:rsid w:val="005755DA"/>
    <w:rsid w:val="00575AEE"/>
    <w:rsid w:val="005A4544"/>
    <w:rsid w:val="005A7AE2"/>
    <w:rsid w:val="005C1052"/>
    <w:rsid w:val="005C5421"/>
    <w:rsid w:val="005C5A6D"/>
    <w:rsid w:val="005D2647"/>
    <w:rsid w:val="005D693C"/>
    <w:rsid w:val="005E0A5A"/>
    <w:rsid w:val="005E4BAE"/>
    <w:rsid w:val="00623DFF"/>
    <w:rsid w:val="0062587D"/>
    <w:rsid w:val="00660074"/>
    <w:rsid w:val="00690A4E"/>
    <w:rsid w:val="00693409"/>
    <w:rsid w:val="0069591E"/>
    <w:rsid w:val="006B4416"/>
    <w:rsid w:val="006D2DB0"/>
    <w:rsid w:val="006D3A01"/>
    <w:rsid w:val="006F4427"/>
    <w:rsid w:val="006F75B5"/>
    <w:rsid w:val="00717722"/>
    <w:rsid w:val="007479FA"/>
    <w:rsid w:val="0076750D"/>
    <w:rsid w:val="00780347"/>
    <w:rsid w:val="0078129C"/>
    <w:rsid w:val="00784625"/>
    <w:rsid w:val="00791189"/>
    <w:rsid w:val="00795D86"/>
    <w:rsid w:val="007B4E83"/>
    <w:rsid w:val="007D42D7"/>
    <w:rsid w:val="007E2A19"/>
    <w:rsid w:val="007F328F"/>
    <w:rsid w:val="007F4D58"/>
    <w:rsid w:val="00802471"/>
    <w:rsid w:val="00805423"/>
    <w:rsid w:val="00810B2E"/>
    <w:rsid w:val="0082477E"/>
    <w:rsid w:val="00835D25"/>
    <w:rsid w:val="00837E9D"/>
    <w:rsid w:val="00854DA8"/>
    <w:rsid w:val="008602F7"/>
    <w:rsid w:val="00863389"/>
    <w:rsid w:val="00871372"/>
    <w:rsid w:val="008D0A73"/>
    <w:rsid w:val="008D19E7"/>
    <w:rsid w:val="008D40ED"/>
    <w:rsid w:val="008E3F5D"/>
    <w:rsid w:val="008F0602"/>
    <w:rsid w:val="00926679"/>
    <w:rsid w:val="00930A95"/>
    <w:rsid w:val="00947077"/>
    <w:rsid w:val="00950F11"/>
    <w:rsid w:val="00991898"/>
    <w:rsid w:val="009B431C"/>
    <w:rsid w:val="009C0B08"/>
    <w:rsid w:val="009D02C8"/>
    <w:rsid w:val="009F08CA"/>
    <w:rsid w:val="00A1250A"/>
    <w:rsid w:val="00A13C95"/>
    <w:rsid w:val="00A15654"/>
    <w:rsid w:val="00A20B6E"/>
    <w:rsid w:val="00A21BD3"/>
    <w:rsid w:val="00A27982"/>
    <w:rsid w:val="00A333E7"/>
    <w:rsid w:val="00A40D77"/>
    <w:rsid w:val="00A41960"/>
    <w:rsid w:val="00A53000"/>
    <w:rsid w:val="00A53DCD"/>
    <w:rsid w:val="00A5434B"/>
    <w:rsid w:val="00A615FF"/>
    <w:rsid w:val="00A74DBB"/>
    <w:rsid w:val="00A80A7E"/>
    <w:rsid w:val="00A84250"/>
    <w:rsid w:val="00A92B6E"/>
    <w:rsid w:val="00AE05CA"/>
    <w:rsid w:val="00AE2543"/>
    <w:rsid w:val="00AF55DE"/>
    <w:rsid w:val="00B07491"/>
    <w:rsid w:val="00B42E5D"/>
    <w:rsid w:val="00B47124"/>
    <w:rsid w:val="00B7507F"/>
    <w:rsid w:val="00B75B86"/>
    <w:rsid w:val="00B80F8D"/>
    <w:rsid w:val="00B93D28"/>
    <w:rsid w:val="00B971AC"/>
    <w:rsid w:val="00BB020A"/>
    <w:rsid w:val="00BC1CF1"/>
    <w:rsid w:val="00BD060B"/>
    <w:rsid w:val="00BD28EF"/>
    <w:rsid w:val="00BD46DB"/>
    <w:rsid w:val="00BD5707"/>
    <w:rsid w:val="00BE1B3C"/>
    <w:rsid w:val="00BE6CB4"/>
    <w:rsid w:val="00C15983"/>
    <w:rsid w:val="00C34A04"/>
    <w:rsid w:val="00C4214C"/>
    <w:rsid w:val="00C45564"/>
    <w:rsid w:val="00C521CB"/>
    <w:rsid w:val="00C53611"/>
    <w:rsid w:val="00C546DA"/>
    <w:rsid w:val="00C8255C"/>
    <w:rsid w:val="00C849A1"/>
    <w:rsid w:val="00C94019"/>
    <w:rsid w:val="00C96CF7"/>
    <w:rsid w:val="00CA008F"/>
    <w:rsid w:val="00CA0D7C"/>
    <w:rsid w:val="00CA2E50"/>
    <w:rsid w:val="00CA6981"/>
    <w:rsid w:val="00CD26F6"/>
    <w:rsid w:val="00CD5CC0"/>
    <w:rsid w:val="00CE2752"/>
    <w:rsid w:val="00D02A42"/>
    <w:rsid w:val="00D03247"/>
    <w:rsid w:val="00D309B5"/>
    <w:rsid w:val="00D42591"/>
    <w:rsid w:val="00D463EE"/>
    <w:rsid w:val="00D50EF3"/>
    <w:rsid w:val="00D64D49"/>
    <w:rsid w:val="00D67513"/>
    <w:rsid w:val="00D7242C"/>
    <w:rsid w:val="00D819D0"/>
    <w:rsid w:val="00D94024"/>
    <w:rsid w:val="00D945FC"/>
    <w:rsid w:val="00D96942"/>
    <w:rsid w:val="00DB6925"/>
    <w:rsid w:val="00DF2112"/>
    <w:rsid w:val="00E16173"/>
    <w:rsid w:val="00E16AB8"/>
    <w:rsid w:val="00E31FB4"/>
    <w:rsid w:val="00E326F9"/>
    <w:rsid w:val="00E50296"/>
    <w:rsid w:val="00E5309C"/>
    <w:rsid w:val="00E60362"/>
    <w:rsid w:val="00E6228B"/>
    <w:rsid w:val="00E62FF3"/>
    <w:rsid w:val="00E729A2"/>
    <w:rsid w:val="00E94F2D"/>
    <w:rsid w:val="00EA0BE7"/>
    <w:rsid w:val="00EC4B51"/>
    <w:rsid w:val="00ED41A7"/>
    <w:rsid w:val="00EE3F90"/>
    <w:rsid w:val="00EF2CC9"/>
    <w:rsid w:val="00EF3C6F"/>
    <w:rsid w:val="00EF7D04"/>
    <w:rsid w:val="00F036EA"/>
    <w:rsid w:val="00F11154"/>
    <w:rsid w:val="00F14D95"/>
    <w:rsid w:val="00F17F25"/>
    <w:rsid w:val="00F22E3F"/>
    <w:rsid w:val="00F257BE"/>
    <w:rsid w:val="00F27D72"/>
    <w:rsid w:val="00F45B9B"/>
    <w:rsid w:val="00F516A2"/>
    <w:rsid w:val="00F56FB6"/>
    <w:rsid w:val="00F72276"/>
    <w:rsid w:val="00F730B3"/>
    <w:rsid w:val="00F81DBD"/>
    <w:rsid w:val="00FC72F9"/>
    <w:rsid w:val="00FD42A0"/>
    <w:rsid w:val="133C0F19"/>
    <w:rsid w:val="2110002A"/>
    <w:rsid w:val="24B8C6A5"/>
    <w:rsid w:val="308C7482"/>
    <w:rsid w:val="441E5FA1"/>
    <w:rsid w:val="45089361"/>
    <w:rsid w:val="4CDA230F"/>
    <w:rsid w:val="540D3692"/>
    <w:rsid w:val="5C1F5F13"/>
    <w:rsid w:val="64BA4202"/>
    <w:rsid w:val="794B4E64"/>
    <w:rsid w:val="7BE5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6BAB"/>
  <w15:docId w15:val="{282AC361-6063-4F7E-85B9-D304CCDB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AF"/>
    <w:rPr>
      <w:rFonts w:ascii="Arial" w:eastAsia="Arial" w:hAnsi="Arial" w:cs="Arial"/>
      <w:lang w:bidi="en-US"/>
    </w:rPr>
  </w:style>
  <w:style w:type="paragraph" w:styleId="Heading1">
    <w:name w:val="heading 1"/>
    <w:basedOn w:val="Normal"/>
    <w:link w:val="Heading1Char"/>
    <w:uiPriority w:val="9"/>
    <w:qFormat/>
    <w:pPr>
      <w:ind w:left="100"/>
      <w:outlineLvl w:val="0"/>
    </w:pPr>
    <w:rPr>
      <w:b/>
      <w:bCs/>
      <w:sz w:val="28"/>
      <w:szCs w:val="28"/>
    </w:rPr>
  </w:style>
  <w:style w:type="paragraph" w:styleId="Heading2">
    <w:name w:val="heading 2"/>
    <w:basedOn w:val="Normal"/>
    <w:next w:val="Normal"/>
    <w:link w:val="Heading2Char"/>
    <w:uiPriority w:val="9"/>
    <w:semiHidden/>
    <w:unhideWhenUsed/>
    <w:qFormat/>
    <w:rsid w:val="006F442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D42D7"/>
    <w:rPr>
      <w:sz w:val="16"/>
      <w:szCs w:val="16"/>
    </w:rPr>
  </w:style>
  <w:style w:type="paragraph" w:styleId="CommentText">
    <w:name w:val="annotation text"/>
    <w:basedOn w:val="Normal"/>
    <w:link w:val="CommentTextChar"/>
    <w:uiPriority w:val="99"/>
    <w:semiHidden/>
    <w:unhideWhenUsed/>
    <w:rsid w:val="007D42D7"/>
    <w:rPr>
      <w:sz w:val="20"/>
      <w:szCs w:val="20"/>
    </w:rPr>
  </w:style>
  <w:style w:type="character" w:customStyle="1" w:styleId="CommentTextChar">
    <w:name w:val="Comment Text Char"/>
    <w:basedOn w:val="DefaultParagraphFont"/>
    <w:link w:val="CommentText"/>
    <w:uiPriority w:val="99"/>
    <w:semiHidden/>
    <w:rsid w:val="007D42D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D42D7"/>
    <w:rPr>
      <w:b/>
      <w:bCs/>
    </w:rPr>
  </w:style>
  <w:style w:type="character" w:customStyle="1" w:styleId="CommentSubjectChar">
    <w:name w:val="Comment Subject Char"/>
    <w:basedOn w:val="CommentTextChar"/>
    <w:link w:val="CommentSubject"/>
    <w:uiPriority w:val="99"/>
    <w:semiHidden/>
    <w:rsid w:val="007D42D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7D4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2D7"/>
    <w:rPr>
      <w:rFonts w:ascii="Segoe UI" w:eastAsia="Arial" w:hAnsi="Segoe UI" w:cs="Segoe UI"/>
      <w:sz w:val="18"/>
      <w:szCs w:val="18"/>
      <w:lang w:bidi="en-US"/>
    </w:rPr>
  </w:style>
  <w:style w:type="paragraph" w:styleId="Header">
    <w:name w:val="header"/>
    <w:basedOn w:val="Normal"/>
    <w:link w:val="HeaderChar"/>
    <w:uiPriority w:val="99"/>
    <w:unhideWhenUsed/>
    <w:rsid w:val="007D42D7"/>
    <w:pPr>
      <w:tabs>
        <w:tab w:val="center" w:pos="4680"/>
        <w:tab w:val="right" w:pos="9360"/>
      </w:tabs>
    </w:pPr>
  </w:style>
  <w:style w:type="character" w:customStyle="1" w:styleId="HeaderChar">
    <w:name w:val="Header Char"/>
    <w:basedOn w:val="DefaultParagraphFont"/>
    <w:link w:val="Header"/>
    <w:uiPriority w:val="99"/>
    <w:rsid w:val="007D42D7"/>
    <w:rPr>
      <w:rFonts w:ascii="Arial" w:eastAsia="Arial" w:hAnsi="Arial" w:cs="Arial"/>
      <w:lang w:bidi="en-US"/>
    </w:rPr>
  </w:style>
  <w:style w:type="paragraph" w:styleId="Footer">
    <w:name w:val="footer"/>
    <w:basedOn w:val="Normal"/>
    <w:link w:val="FooterChar"/>
    <w:uiPriority w:val="99"/>
    <w:unhideWhenUsed/>
    <w:rsid w:val="007D42D7"/>
    <w:pPr>
      <w:tabs>
        <w:tab w:val="center" w:pos="4680"/>
        <w:tab w:val="right" w:pos="9360"/>
      </w:tabs>
    </w:pPr>
  </w:style>
  <w:style w:type="character" w:customStyle="1" w:styleId="FooterChar">
    <w:name w:val="Footer Char"/>
    <w:basedOn w:val="DefaultParagraphFont"/>
    <w:link w:val="Footer"/>
    <w:uiPriority w:val="99"/>
    <w:rsid w:val="007D42D7"/>
    <w:rPr>
      <w:rFonts w:ascii="Arial" w:eastAsia="Arial" w:hAnsi="Arial" w:cs="Arial"/>
      <w:lang w:bidi="en-US"/>
    </w:rPr>
  </w:style>
  <w:style w:type="paragraph" w:styleId="ListNumber">
    <w:name w:val="List Number"/>
    <w:basedOn w:val="Normal"/>
    <w:uiPriority w:val="3"/>
    <w:unhideWhenUsed/>
    <w:qFormat/>
    <w:rsid w:val="0050387A"/>
    <w:pPr>
      <w:widowControl/>
      <w:numPr>
        <w:numId w:val="3"/>
      </w:numPr>
      <w:autoSpaceDE/>
      <w:autoSpaceDN/>
      <w:spacing w:after="200" w:line="264" w:lineRule="auto"/>
      <w:contextualSpacing/>
    </w:pPr>
    <w:rPr>
      <w:rFonts w:asciiTheme="minorHAnsi" w:eastAsiaTheme="minorHAnsi" w:hAnsiTheme="minorHAnsi" w:cstheme="minorBidi"/>
      <w:sz w:val="20"/>
      <w:szCs w:val="20"/>
      <w:lang w:bidi="ar-SA"/>
    </w:rPr>
  </w:style>
  <w:style w:type="paragraph" w:customStyle="1" w:styleId="Body">
    <w:name w:val="Body"/>
    <w:rsid w:val="0050387A"/>
    <w:pPr>
      <w:widowControl/>
      <w:pBdr>
        <w:top w:val="nil"/>
        <w:left w:val="nil"/>
        <w:bottom w:val="nil"/>
        <w:right w:val="nil"/>
        <w:between w:val="nil"/>
        <w:bar w:val="nil"/>
      </w:pBdr>
      <w:autoSpaceDE/>
      <w:autoSpaceDN/>
      <w:spacing w:after="200" w:line="264" w:lineRule="auto"/>
    </w:pPr>
    <w:rPr>
      <w:rFonts w:ascii="Arial" w:eastAsia="Arial Unicode MS" w:hAnsi="Arial" w:cs="Arial Unicode MS"/>
      <w:color w:val="000000"/>
      <w:sz w:val="20"/>
      <w:szCs w:val="20"/>
      <w:u w:color="000000"/>
      <w:bdr w:val="nil"/>
    </w:rPr>
  </w:style>
  <w:style w:type="paragraph" w:customStyle="1" w:styleId="Heading">
    <w:name w:val="Heading"/>
    <w:next w:val="Body"/>
    <w:rsid w:val="0050387A"/>
    <w:pPr>
      <w:keepNext/>
      <w:keepLines/>
      <w:widowControl/>
      <w:pBdr>
        <w:top w:val="nil"/>
        <w:left w:val="nil"/>
        <w:bottom w:val="nil"/>
        <w:right w:val="nil"/>
        <w:between w:val="nil"/>
        <w:bar w:val="nil"/>
      </w:pBdr>
      <w:autoSpaceDE/>
      <w:autoSpaceDN/>
      <w:spacing w:before="480" w:line="264" w:lineRule="auto"/>
      <w:outlineLvl w:val="0"/>
    </w:pPr>
    <w:rPr>
      <w:rFonts w:ascii="Arial" w:eastAsia="Arial Unicode MS" w:hAnsi="Arial" w:cs="Arial Unicode MS"/>
      <w:b/>
      <w:bCs/>
      <w:color w:val="777777"/>
      <w:sz w:val="28"/>
      <w:szCs w:val="28"/>
      <w:u w:color="777777"/>
      <w:bdr w:val="nil"/>
    </w:rPr>
  </w:style>
  <w:style w:type="character" w:customStyle="1" w:styleId="Heading2Char">
    <w:name w:val="Heading 2 Char"/>
    <w:basedOn w:val="DefaultParagraphFont"/>
    <w:link w:val="Heading2"/>
    <w:uiPriority w:val="9"/>
    <w:semiHidden/>
    <w:rsid w:val="006F4427"/>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F4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1AAF"/>
    <w:rPr>
      <w:rFonts w:ascii="Arial" w:eastAsia="Arial" w:hAnsi="Arial" w:cs="Arial"/>
      <w:b/>
      <w:bCs/>
      <w:sz w:val="28"/>
      <w:szCs w:val="28"/>
      <w:lang w:bidi="en-US"/>
    </w:rPr>
  </w:style>
  <w:style w:type="paragraph" w:customStyle="1" w:styleId="paragraph">
    <w:name w:val="paragraph"/>
    <w:basedOn w:val="Normal"/>
    <w:rsid w:val="00E62FF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E62FF3"/>
  </w:style>
  <w:style w:type="character" w:customStyle="1" w:styleId="eop">
    <w:name w:val="eop"/>
    <w:basedOn w:val="DefaultParagraphFont"/>
    <w:rsid w:val="00E6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1">
      <w:bodyDiv w:val="1"/>
      <w:marLeft w:val="0"/>
      <w:marRight w:val="0"/>
      <w:marTop w:val="0"/>
      <w:marBottom w:val="0"/>
      <w:divBdr>
        <w:top w:val="none" w:sz="0" w:space="0" w:color="auto"/>
        <w:left w:val="none" w:sz="0" w:space="0" w:color="auto"/>
        <w:bottom w:val="none" w:sz="0" w:space="0" w:color="auto"/>
        <w:right w:val="none" w:sz="0" w:space="0" w:color="auto"/>
      </w:divBdr>
    </w:div>
    <w:div w:id="815992946">
      <w:bodyDiv w:val="1"/>
      <w:marLeft w:val="0"/>
      <w:marRight w:val="0"/>
      <w:marTop w:val="0"/>
      <w:marBottom w:val="0"/>
      <w:divBdr>
        <w:top w:val="none" w:sz="0" w:space="0" w:color="auto"/>
        <w:left w:val="none" w:sz="0" w:space="0" w:color="auto"/>
        <w:bottom w:val="none" w:sz="0" w:space="0" w:color="auto"/>
        <w:right w:val="none" w:sz="0" w:space="0" w:color="auto"/>
      </w:divBdr>
    </w:div>
    <w:div w:id="1027877983">
      <w:bodyDiv w:val="1"/>
      <w:marLeft w:val="0"/>
      <w:marRight w:val="0"/>
      <w:marTop w:val="0"/>
      <w:marBottom w:val="0"/>
      <w:divBdr>
        <w:top w:val="none" w:sz="0" w:space="0" w:color="auto"/>
        <w:left w:val="none" w:sz="0" w:space="0" w:color="auto"/>
        <w:bottom w:val="none" w:sz="0" w:space="0" w:color="auto"/>
        <w:right w:val="none" w:sz="0" w:space="0" w:color="auto"/>
      </w:divBdr>
    </w:div>
    <w:div w:id="177039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9695f-e2e8-4248-9a68-66c39c68ae3d">
      <Value>3</Value>
    </TaxCatchAll>
    <keba0c8e5e104dae9bcdea6715aaee93 xmlns="d6c49b32-e5bf-402a-b029-a4f4396601ee">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2ae2a61a-ac19-4af8-b1de-db00fd570a45</TermId>
        </TermInfo>
      </Terms>
    </keba0c8e5e104dae9bcdea6715aaee93>
    <n339a4e264194551a2a0af7e95a95133 xmlns="d6c49b32-e5bf-402a-b029-a4f4396601ee">
      <Terms xmlns="http://schemas.microsoft.com/office/infopath/2007/PartnerControls"/>
    </n339a4e264194551a2a0af7e95a95133>
    <g0aabec930bb45a380e3256110f6c163 xmlns="d6c49b32-e5bf-402a-b029-a4f4396601ee">
      <Terms xmlns="http://schemas.microsoft.com/office/infopath/2007/PartnerControls"/>
    </g0aabec930bb45a380e3256110f6c163>
    <lcf76f155ced4ddcb4097134ff3c332f xmlns="b26d6b78-5092-448b-9b50-6c81b5c97c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FA Document" ma:contentTypeID="0x01010088D1BAAAD992E14F86D4B33062DD2B0000F1DB50E0D3637245BD9097EF1CA1C9A1" ma:contentTypeVersion="18" ma:contentTypeDescription="Create a new document." ma:contentTypeScope="" ma:versionID="1345fec0fb1905ac9435803a7fe6d411">
  <xsd:schema xmlns:xsd="http://www.w3.org/2001/XMLSchema" xmlns:xs="http://www.w3.org/2001/XMLSchema" xmlns:p="http://schemas.microsoft.com/office/2006/metadata/properties" xmlns:ns2="d6c49b32-e5bf-402a-b029-a4f4396601ee" xmlns:ns3="8ad9695f-e2e8-4248-9a68-66c39c68ae3d" xmlns:ns5="b26d6b78-5092-448b-9b50-6c81b5c97c4b" targetNamespace="http://schemas.microsoft.com/office/2006/metadata/properties" ma:root="true" ma:fieldsID="2f5aa51fd4a7849e8a6aaf170447ccf8" ns2:_="" ns3:_="" ns5:_="">
    <xsd:import namespace="d6c49b32-e5bf-402a-b029-a4f4396601ee"/>
    <xsd:import namespace="8ad9695f-e2e8-4248-9a68-66c39c68ae3d"/>
    <xsd:import namespace="b26d6b78-5092-448b-9b50-6c81b5c97c4b"/>
    <xsd:element name="properties">
      <xsd:complexType>
        <xsd:sequence>
          <xsd:element name="documentManagement">
            <xsd:complexType>
              <xsd:all>
                <xsd:element ref="ns2:g0aabec930bb45a380e3256110f6c163" minOccurs="0"/>
                <xsd:element ref="ns3:TaxCatchAll" minOccurs="0"/>
                <xsd:element ref="ns3:TaxCatchAllLabel" minOccurs="0"/>
                <xsd:element ref="ns2:n339a4e264194551a2a0af7e95a95133" minOccurs="0"/>
                <xsd:element ref="ns2:keba0c8e5e104dae9bcdea6715aaee93"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49b32-e5bf-402a-b029-a4f4396601ee" elementFormDefault="qualified">
    <xsd:import namespace="http://schemas.microsoft.com/office/2006/documentManagement/types"/>
    <xsd:import namespace="http://schemas.microsoft.com/office/infopath/2007/PartnerControls"/>
    <xsd:element name="g0aabec930bb45a380e3256110f6c163" ma:index="8" nillable="true" ma:taxonomy="true" ma:internalName="g0aabec930bb45a380e3256110f6c163" ma:taxonomyFieldName="CFARegion" ma:displayName="Region" ma:default="" ma:fieldId="{00aabec9-30bb-45a3-80e3-256110f6c163}" ma:sspId="7571d408-0d8c-48a4-adcf-444c1a3db999" ma:termSetId="2391f6e1-ecba-4a86-84bf-550004ff86e6" ma:anchorId="00000000-0000-0000-0000-000000000000" ma:open="false" ma:isKeyword="false">
      <xsd:complexType>
        <xsd:sequence>
          <xsd:element ref="pc:Terms" minOccurs="0" maxOccurs="1"/>
        </xsd:sequence>
      </xsd:complexType>
    </xsd:element>
    <xsd:element name="n339a4e264194551a2a0af7e95a95133" ma:index="12" nillable="true" ma:taxonomy="true" ma:internalName="n339a4e264194551a2a0af7e95a95133" ma:taxonomyFieldName="CFADivision" ma:displayName="Division" ma:default="" ma:fieldId="{7339a4e2-6419-4551-a2a0-af7e95a95133}" ma:sspId="7571d408-0d8c-48a4-adcf-444c1a3db999" ma:termSetId="69672a56-3e3b-493d-a62a-c2a8b27b97f1" ma:anchorId="00000000-0000-0000-0000-000000000000" ma:open="false" ma:isKeyword="false">
      <xsd:complexType>
        <xsd:sequence>
          <xsd:element ref="pc:Terms" minOccurs="0" maxOccurs="1"/>
        </xsd:sequence>
      </xsd:complexType>
    </xsd:element>
    <xsd:element name="keba0c8e5e104dae9bcdea6715aaee93" ma:index="14" nillable="true" ma:taxonomy="true" ma:internalName="keba0c8e5e104dae9bcdea6715aaee93" ma:taxonomyFieldName="CFADocumentType" ma:displayName="Document Type" ma:default="3;#General|2ae2a61a-ac19-4af8-b1de-db00fd570a45" ma:fieldId="{4eba0c8e-5e10-4dae-9bcd-ea6715aaee93}" ma:sspId="7571d408-0d8c-48a4-adcf-444c1a3db999" ma:termSetId="9dbdb312-732b-4fa8-bf5c-37a3f3f797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d9695f-e2e8-4248-9a68-66c39c68ae3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774b68f-cd7e-4da0-b7d0-d1f702ee51be}" ma:internalName="TaxCatchAll" ma:showField="CatchAllData" ma:web="83ca0d5f-183e-40d0-ac02-253abfc2f3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774b68f-cd7e-4da0-b7d0-d1f702ee51be}" ma:internalName="TaxCatchAllLabel" ma:readOnly="true" ma:showField="CatchAllDataLabel" ma:web="83ca0d5f-183e-40d0-ac02-253abfc2f3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6d6b78-5092-448b-9b50-6c81b5c97c4b" elementFormDefault="qualified">
    <xsd:import namespace="http://schemas.microsoft.com/office/2006/documentManagement/types"/>
    <xsd:import namespace="http://schemas.microsoft.com/office/infopath/2007/PartnerControls"/>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71d408-0d8c-48a4-adcf-444c1a3db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8E92-7D97-4BEB-A916-CF35009AB18B}">
  <ds:schemaRefs>
    <ds:schemaRef ds:uri="http://schemas.microsoft.com/office/2006/metadata/properties"/>
    <ds:schemaRef ds:uri="http://schemas.microsoft.com/office/infopath/2007/PartnerControls"/>
    <ds:schemaRef ds:uri="8ad9695f-e2e8-4248-9a68-66c39c68ae3d"/>
    <ds:schemaRef ds:uri="d6c49b32-e5bf-402a-b029-a4f4396601ee"/>
    <ds:schemaRef ds:uri="b26d6b78-5092-448b-9b50-6c81b5c97c4b"/>
  </ds:schemaRefs>
</ds:datastoreItem>
</file>

<file path=customXml/itemProps2.xml><?xml version="1.0" encoding="utf-8"?>
<ds:datastoreItem xmlns:ds="http://schemas.openxmlformats.org/officeDocument/2006/customXml" ds:itemID="{BDBD5E90-9BCB-4E4C-822B-F9BFCC9E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49b32-e5bf-402a-b029-a4f4396601ee"/>
    <ds:schemaRef ds:uri="8ad9695f-e2e8-4248-9a68-66c39c68ae3d"/>
    <ds:schemaRef ds:uri="b26d6b78-5092-448b-9b50-6c81b5c9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E2F74-50B8-4C00-AA36-E0DE5312D5A5}">
  <ds:schemaRefs>
    <ds:schemaRef ds:uri="http://schemas.microsoft.com/sharepoint/v3/contenttype/forms"/>
  </ds:schemaRefs>
</ds:datastoreItem>
</file>

<file path=customXml/itemProps4.xml><?xml version="1.0" encoding="utf-8"?>
<ds:datastoreItem xmlns:ds="http://schemas.openxmlformats.org/officeDocument/2006/customXml" ds:itemID="{62603E93-D0CE-4D5B-B3D9-82C77620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Lange</dc:creator>
  <cp:lastModifiedBy>Austin Yursik</cp:lastModifiedBy>
  <cp:revision>39</cp:revision>
  <dcterms:created xsi:type="dcterms:W3CDTF">2021-06-24T20:54:00Z</dcterms:created>
  <dcterms:modified xsi:type="dcterms:W3CDTF">2025-02-24T19:05:00Z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Microsoft® Word for Office 365</vt:lpwstr>
  </property>
  <property fmtid="{D5CDD505-2E9C-101B-9397-08002B2CF9AE}" pid="4" name="LastSaved">
    <vt:filetime>2019-08-19T00:00:00Z</vt:filetime>
  </property>
  <property fmtid="{D5CDD505-2E9C-101B-9397-08002B2CF9AE}" pid="5" name="ContentTypeId">
    <vt:lpwstr>0x01010088D1BAAAD992E14F86D4B33062DD2B0000F1DB50E0D3637245BD9097EF1CA1C9A1</vt:lpwstr>
  </property>
  <property fmtid="{D5CDD505-2E9C-101B-9397-08002B2CF9AE}" pid="6" name="CFADocumentType">
    <vt:lpwstr>3;#General|2ae2a61a-ac19-4af8-b1de-db00fd570a45</vt:lpwstr>
  </property>
  <property fmtid="{D5CDD505-2E9C-101B-9397-08002B2CF9AE}" pid="7" name="CFARegion">
    <vt:lpwstr/>
  </property>
  <property fmtid="{D5CDD505-2E9C-101B-9397-08002B2CF9AE}" pid="8" name="CFADivision">
    <vt:lpwstr/>
  </property>
  <property fmtid="{D5CDD505-2E9C-101B-9397-08002B2CF9AE}" pid="9" name="MediaServiceImageTags">
    <vt:lpwstr/>
  </property>
</Properties>
</file>